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AC7" w:rsidRDefault="00006AC7">
      <w:pPr>
        <w:pStyle w:val="Heading7"/>
        <w:jc w:val="both"/>
      </w:pPr>
      <w:r>
        <w:t>Introduzione</w:t>
      </w:r>
    </w:p>
    <w:p w:rsidR="00006AC7" w:rsidRDefault="00006AC7">
      <w:pPr>
        <w:spacing w:after="0" w:line="360" w:lineRule="atLeast"/>
        <w:jc w:val="both"/>
        <w:rPr>
          <w:rFonts w:ascii="Times New Roman" w:hAnsi="Times New Roman" w:cs="Times New Roman"/>
          <w:sz w:val="20"/>
          <w:szCs w:val="20"/>
        </w:rPr>
      </w:pPr>
      <w:r>
        <w:rPr>
          <w:rFonts w:ascii="Times New Roman" w:hAnsi="Times New Roman" w:cs="Times New Roman"/>
          <w:sz w:val="20"/>
          <w:szCs w:val="20"/>
          <w:lang w:eastAsia="it-IT"/>
        </w:rPr>
        <w:t>“Giocare e giocare troppo” è</w:t>
      </w:r>
      <w:r>
        <w:rPr>
          <w:rFonts w:ascii="Times New Roman" w:hAnsi="Times New Roman" w:cs="Times New Roman"/>
          <w:sz w:val="20"/>
          <w:szCs w:val="20"/>
        </w:rPr>
        <w:t xml:space="preserve">   una ricerca epidemiologica sulle abitudini al gioco</w:t>
      </w:r>
      <w:r>
        <w:rPr>
          <w:rFonts w:ascii="Times New Roman" w:hAnsi="Times New Roman" w:cs="Times New Roman"/>
          <w:sz w:val="20"/>
          <w:szCs w:val="20"/>
          <w:lang w:eastAsia="it-IT"/>
        </w:rPr>
        <w:t>, effettuata dal SerT di Piacenza in collaborazione con l’Osservatorio di Epidemiologia dell’Agenzia Regionale di Sanità della Regione Emilia Romagna e con il Dipartimento di Statistica della Facoltà di Economia dell’Università Cattolica del Sacro cuore di Piacenza.</w:t>
      </w:r>
    </w:p>
    <w:p w:rsidR="00006AC7" w:rsidRDefault="00006AC7">
      <w:pPr>
        <w:pStyle w:val="BodyText3"/>
        <w:spacing w:after="0" w:line="360" w:lineRule="atLeast"/>
        <w:jc w:val="both"/>
      </w:pPr>
      <w:r>
        <w:t>Tale ricerca è stata svolta attraverso un’inchiesta telefonica su un campione rappresentativo della popolazione adulta maggiorenne residente nella Provincia di Piacenza e nei comuni confinanti, con gli obiettivi di:</w:t>
      </w:r>
    </w:p>
    <w:p w:rsidR="00006AC7" w:rsidRDefault="00006AC7">
      <w:pPr>
        <w:numPr>
          <w:ilvl w:val="0"/>
          <w:numId w:val="3"/>
        </w:numPr>
        <w:spacing w:after="0" w:line="360" w:lineRule="atLeast"/>
        <w:jc w:val="both"/>
        <w:rPr>
          <w:rFonts w:ascii="Times New Roman" w:hAnsi="Times New Roman" w:cs="Times New Roman"/>
          <w:sz w:val="20"/>
          <w:szCs w:val="20"/>
          <w:lang w:eastAsia="it-IT"/>
        </w:rPr>
      </w:pPr>
      <w:r>
        <w:rPr>
          <w:rFonts w:ascii="Times New Roman" w:hAnsi="Times New Roman" w:cs="Times New Roman"/>
          <w:sz w:val="20"/>
          <w:szCs w:val="20"/>
          <w:lang w:eastAsia="it-IT"/>
        </w:rPr>
        <w:t>definire dimensioni e tipologia dell’area dei giochi in cui generalmente si scommettono soldi;</w:t>
      </w:r>
    </w:p>
    <w:p w:rsidR="00006AC7" w:rsidRDefault="00006AC7">
      <w:pPr>
        <w:numPr>
          <w:ilvl w:val="0"/>
          <w:numId w:val="3"/>
        </w:numPr>
        <w:spacing w:after="0" w:line="360" w:lineRule="atLeast"/>
        <w:jc w:val="both"/>
        <w:rPr>
          <w:rFonts w:ascii="Times New Roman" w:hAnsi="Times New Roman" w:cs="Times New Roman"/>
          <w:sz w:val="20"/>
          <w:szCs w:val="20"/>
        </w:rPr>
      </w:pPr>
      <w:r>
        <w:rPr>
          <w:rFonts w:ascii="Times New Roman" w:hAnsi="Times New Roman" w:cs="Times New Roman"/>
          <w:sz w:val="20"/>
          <w:szCs w:val="20"/>
        </w:rPr>
        <w:t>quantificare e tipizzare i giocatori per frequenza di giocate, giochi preferiti, quantità di denaro scommesso, stimando la frazione dei giocatori moderati e dei forti giocatori, ma escludendo la possibilità di stimare la quota di dipendenti da gioco;</w:t>
      </w:r>
    </w:p>
    <w:p w:rsidR="00006AC7" w:rsidRDefault="00006AC7">
      <w:pPr>
        <w:numPr>
          <w:ilvl w:val="0"/>
          <w:numId w:val="3"/>
        </w:numPr>
        <w:spacing w:after="0" w:line="360" w:lineRule="atLeast"/>
        <w:jc w:val="both"/>
      </w:pPr>
      <w:r>
        <w:rPr>
          <w:rFonts w:ascii="Times New Roman" w:hAnsi="Times New Roman" w:cs="Times New Roman"/>
          <w:sz w:val="20"/>
          <w:szCs w:val="20"/>
        </w:rPr>
        <w:t>comprendere le eventuali analogie tra il gioco e altre situazioni che inducono dipendenza, come il fumo o l’alcol;</w:t>
      </w:r>
    </w:p>
    <w:p w:rsidR="00006AC7" w:rsidRDefault="00006AC7">
      <w:pPr>
        <w:numPr>
          <w:ilvl w:val="0"/>
          <w:numId w:val="3"/>
        </w:numPr>
        <w:spacing w:after="0" w:line="360" w:lineRule="atLeast"/>
        <w:jc w:val="both"/>
      </w:pPr>
      <w:r>
        <w:rPr>
          <w:rFonts w:ascii="Times New Roman" w:hAnsi="Times New Roman" w:cs="Times New Roman"/>
          <w:sz w:val="20"/>
          <w:szCs w:val="20"/>
        </w:rPr>
        <w:t>infine, in vista della recente apertura di un casinò a San Nicolò a Trebbia (PC), conoscere l’opinione dei cittadini sull’impatto sociale causato da quest’evento, nell’ipotesi anche di poterla rivalutare a distanza di due anni dall’eventuale attivazione.</w:t>
      </w:r>
      <w:r>
        <w:rPr>
          <w:color w:val="000000"/>
        </w:rPr>
        <w:br w:type="textWrapping" w:clear="all"/>
      </w:r>
    </w:p>
    <w:p w:rsidR="00006AC7" w:rsidRDefault="00006AC7">
      <w:pPr>
        <w:spacing w:after="0" w:line="360" w:lineRule="atLeast"/>
        <w:ind w:left="360"/>
        <w:jc w:val="both"/>
      </w:pPr>
    </w:p>
    <w:p w:rsidR="00006AC7" w:rsidRDefault="00006AC7">
      <w:pPr>
        <w:pStyle w:val="Heading7"/>
        <w:jc w:val="both"/>
        <w:rPr>
          <w:color w:val="000000"/>
        </w:rPr>
      </w:pPr>
      <w:r>
        <w:t>Materiali e metodi</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Nel periodo tra il 5 ed il 15 giugno 2016, con la collaborazione del Dipartimento di Statistica della Facoltà di Economia dell’Università di Piacenza, è stata condotta un’indagine telefonica su un campione di 516 soggetti di età 18-65 anni, rappresentativo della popolazione di pari età  residente nei comuni di Calendasco (PC), Caorso (PC), Caselle Landi (LO), Corno Giovine (LO), Gossolengo (PC), Gragnano Trebbiese (PC), Podenzano (PC), Pontenure (PC), Rottofreno (PC), San Rocco al Porto (LO) e Santo Stefano Lodigiano (LO).</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Al dicembre 2014, l’area presa in esame contava 111.803 abitanti, di cui 73.321 nella fascia di età oggetto dell’indagine (36.164 maschi e 37.157 femmine), per la maggior parte concentrata nei comuni di Gragnano Trebbiese e Podenzano.</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Il campione è stato stratificato per sesso e per tre classi di età (18-29, 30–49, 50-65) ed è stato estratto casualmente dalle liste degli iscritti negli elenchi telefonici dei comuni selezionati. Per l’elevato numero di comuni dell’area d’indagine, è stato deciso di non stratificare il campione per ciascun comune di residenza, assicurando comunque un bilanciamento delle interviste in modo da essere rappresentative almeno di Rottofreno, il comune in cui è situata la frazione di San Nicolò a Trebbia, potenziale luogo dell’insediamento del Casinò.</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Le interviste telefoniche sono state eseguite secondo un protocollo standardizzato da personale addestrato all’uso della modalità CATI (Computer Assisted Telephoning Interviewing), compilando un questionario elaborato dall’ARS in collaborazione con gli operatori del SerT di Piacenza.</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Il questionario rilevava informazioni su:</w:t>
      </w:r>
    </w:p>
    <w:p w:rsidR="00006AC7" w:rsidRDefault="00006AC7">
      <w:pPr>
        <w:spacing w:after="0" w:line="360" w:lineRule="atLeast"/>
        <w:ind w:left="72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caratteristiche socio-demografiche (sesso, età, stato civile, titolo di studio e professione);</w:t>
      </w:r>
    </w:p>
    <w:p w:rsidR="00006AC7" w:rsidRDefault="00006AC7">
      <w:pPr>
        <w:spacing w:after="0" w:line="360" w:lineRule="atLeast"/>
        <w:ind w:left="72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frequenza di gioco nell’ultimo mese o settimana e quantità di denaro investita l’ultima volta  per 13 tipi di gioco: Totocalcio, Totogol, Totosei; Totip; Superenalotto; Lotto; Scommesse sportive e sui cavalli nelle sale SNAI; Ippodromo di Montecatini; Gratta-e-vinci; Biglietti della lotteria; Tombola; Bingo; Casinò; Gioco di carte; Videopoker;</w:t>
      </w:r>
    </w:p>
    <w:p w:rsidR="00006AC7" w:rsidRDefault="00006AC7">
      <w:pPr>
        <w:spacing w:after="0" w:line="360" w:lineRule="atLeast"/>
        <w:ind w:left="72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gioco problematico: conoscenza di persone che hanno avuto gravi problemi con il gioco; critiche subite per aver giocato troppo; senso di colpa per aver giocato troppo;</w:t>
      </w:r>
    </w:p>
    <w:p w:rsidR="00006AC7" w:rsidRDefault="00006AC7">
      <w:pPr>
        <w:spacing w:after="0" w:line="360" w:lineRule="atLeast"/>
        <w:ind w:left="72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grado di accordo su cinque affermazioni relative ai possibili effetti dell’apertura di un Casinò nella zona: “è una buona idea aprire un casinò a San Nicolò a Trebbia”, “porterà un aumento della criminalità”; “porterà benefici all’economia locale”; “aumenterà la congestione dovuta al traffico e l’affollamento”;  “aumenterà il numero di persone dipendenti o che hanno problemi con il gioco”;</w:t>
      </w:r>
    </w:p>
    <w:p w:rsidR="00006AC7" w:rsidRDefault="00006AC7">
      <w:pPr>
        <w:spacing w:after="0" w:line="360" w:lineRule="atLeast"/>
        <w:ind w:left="72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consumo di bevande alcoliche (vino, birra, liquori), quantità di vino consumata, ed abitudine al fumo di tabacco.</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In fase d’analisi, la frequenza di gioco è stata riportata per tutti i giochi su scala mensile, e per ciascun soggetto è stata calcolata la frequenza totale di giocate. </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Per il calcolo del denaro investito, per ciascun gioco si è moltiplicato il valore centrale di classe per la frequenza mensile. E’ stato assunto che la cifra spesa all’ultima giocata fosse rappresentativa delle giocate effettuate anche nelle altre occasioni. I soldi giocati sono stati calcolati in Euro. Sulla base della distribuzione totale della frequenza e quantità di denaro giocata, sono stati arbitrariamente stabiliti i cut-off che identificano le categorie dei giocatori “poco assidui” (da 1 a 10 giocate al mese) e “assidui” (oltre 10 giocate al mese), e della spesa “bassa” (tra 1 e 50 Euro al mese) e “alta” (oltre 50 Euro al mese). </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Le risposte alle domande sulla percezione degli effetti dovuti all’apertura di un Casinò sono state categorizzate in cinque livelli di accordo (molto, abbastanza, poco, per niente, non sa) e, per la rappresentazione grafica, trasformate in punteggi su scala da 0 a 10.</w:t>
      </w:r>
    </w:p>
    <w:p w:rsidR="00006AC7" w:rsidRDefault="00006AC7">
      <w:pPr>
        <w:spacing w:after="0" w:line="36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In caso di rifiuto, ove possibile, è stata rilevata l’età della persona contattata.</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Le persone contattate telefonicamente sono state 668 (279 maschi e 389 femmine), di cui 152 hanno rifiutato di partecipare all’indagine (23% del totale). Di queste, 111 (73%) sono costituite da femmine, e 41 (27%) da maschi. </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Pertanto, le interviste utilizzate in fase d’analisi sono state 516.</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La tabella riporta la distribuzione delle interviste per sesso e comune di residenza. </w:t>
      </w:r>
    </w:p>
    <w:p w:rsidR="00006AC7" w:rsidRDefault="00006AC7">
      <w:pPr>
        <w:spacing w:after="0" w:line="300" w:lineRule="atLeast"/>
        <w:jc w:val="both"/>
        <w:rPr>
          <w:rFonts w:ascii="Times New Roman" w:hAnsi="Times New Roman" w:cs="Times New Roman"/>
          <w:color w:val="000000"/>
          <w:sz w:val="20"/>
          <w:szCs w:val="20"/>
          <w:lang w:eastAsia="it-IT"/>
        </w:rPr>
      </w:pP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291"/>
        <w:gridCol w:w="1265"/>
        <w:gridCol w:w="1265"/>
        <w:gridCol w:w="1265"/>
        <w:gridCol w:w="1265"/>
        <w:gridCol w:w="1265"/>
        <w:gridCol w:w="1265"/>
      </w:tblGrid>
      <w:tr w:rsidR="00006AC7">
        <w:tblPrEx>
          <w:tblCellMar>
            <w:top w:w="0" w:type="dxa"/>
            <w:bottom w:w="0" w:type="dxa"/>
          </w:tblCellMar>
        </w:tblPrEx>
        <w:trPr>
          <w:trHeight w:val="260"/>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COMUNE</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MASCHI</w:t>
            </w:r>
          </w:p>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N°</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FEMMINE</w:t>
            </w:r>
          </w:p>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N°</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TOTALE</w:t>
            </w:r>
          </w:p>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N°</w:t>
            </w:r>
          </w:p>
        </w:tc>
        <w:tc>
          <w:tcPr>
            <w:tcW w:w="1265"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w:t>
            </w:r>
          </w:p>
        </w:tc>
      </w:tr>
      <w:tr w:rsidR="00006AC7">
        <w:tblPrEx>
          <w:tblCellMar>
            <w:top w:w="0" w:type="dxa"/>
            <w:bottom w:w="0" w:type="dxa"/>
          </w:tblCellMar>
        </w:tblPrEx>
        <w:trPr>
          <w:trHeight w:val="254"/>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Calendasco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7,6</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19</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6,8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37</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7,2</w:t>
            </w:r>
          </w:p>
        </w:tc>
      </w:tr>
      <w:tr w:rsidR="00006AC7">
        <w:tblPrEx>
          <w:tblCellMar>
            <w:top w:w="0" w:type="dxa"/>
            <w:bottom w:w="0" w:type="dxa"/>
          </w:tblCellMar>
        </w:tblPrEx>
        <w:trPr>
          <w:cantSplit/>
          <w:trHeight w:val="133"/>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Caorso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11</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19</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3,7</w:t>
            </w:r>
          </w:p>
        </w:tc>
      </w:tr>
      <w:tr w:rsidR="00006AC7">
        <w:tblPrEx>
          <w:tblCellMar>
            <w:top w:w="0" w:type="dxa"/>
            <w:bottom w:w="0" w:type="dxa"/>
          </w:tblCellMar>
        </w:tblPrEx>
        <w:trPr>
          <w:trHeight w:val="254"/>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Caselle Landi (LO)</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16</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29</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5,6</w:t>
            </w:r>
          </w:p>
        </w:tc>
      </w:tr>
      <w:tr w:rsidR="00006AC7">
        <w:tblPrEx>
          <w:tblCellMar>
            <w:top w:w="0" w:type="dxa"/>
            <w:bottom w:w="0" w:type="dxa"/>
          </w:tblCellMar>
        </w:tblPrEx>
        <w:trPr>
          <w:trHeight w:val="260"/>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Corno Giovine (LO)</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5,4</w:t>
            </w:r>
          </w:p>
        </w:tc>
      </w:tr>
      <w:tr w:rsidR="00006AC7">
        <w:tblPrEx>
          <w:tblCellMar>
            <w:top w:w="0" w:type="dxa"/>
            <w:bottom w:w="0" w:type="dxa"/>
          </w:tblCellMar>
        </w:tblPrEx>
        <w:trPr>
          <w:trHeight w:val="260"/>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Gossolengo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7,2</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6,4</w:t>
            </w:r>
          </w:p>
        </w:tc>
      </w:tr>
      <w:tr w:rsidR="00006AC7">
        <w:tblPrEx>
          <w:tblCellMar>
            <w:top w:w="0" w:type="dxa"/>
            <w:bottom w:w="0" w:type="dxa"/>
          </w:tblCellMar>
        </w:tblPrEx>
        <w:trPr>
          <w:trHeight w:val="260"/>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Gragnano Trebbiese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16,8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17,3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17,1</w:t>
            </w:r>
          </w:p>
        </w:tc>
      </w:tr>
      <w:tr w:rsidR="00006AC7">
        <w:tblPrEx>
          <w:tblCellMar>
            <w:top w:w="0" w:type="dxa"/>
            <w:bottom w:w="0" w:type="dxa"/>
          </w:tblCellMar>
        </w:tblPrEx>
        <w:trPr>
          <w:trHeight w:val="260"/>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Podenzano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47</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19,7</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56</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20,1</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103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20,0</w:t>
            </w:r>
          </w:p>
        </w:tc>
      </w:tr>
      <w:tr w:rsidR="00006AC7">
        <w:tblPrEx>
          <w:tblCellMar>
            <w:top w:w="0" w:type="dxa"/>
            <w:bottom w:w="0" w:type="dxa"/>
          </w:tblCellMar>
        </w:tblPrEx>
        <w:trPr>
          <w:trHeight w:val="127"/>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Pontenure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14,3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14,4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74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14,3</w:t>
            </w:r>
          </w:p>
        </w:tc>
      </w:tr>
      <w:tr w:rsidR="00006AC7">
        <w:tblPrEx>
          <w:tblCellMar>
            <w:top w:w="0" w:type="dxa"/>
            <w:bottom w:w="0" w:type="dxa"/>
          </w:tblCellMar>
        </w:tblPrEx>
        <w:trPr>
          <w:trHeight w:val="127"/>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Rottofreno (PC)</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21</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8,3</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44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8,5</w:t>
            </w:r>
          </w:p>
        </w:tc>
      </w:tr>
      <w:tr w:rsidR="00006AC7">
        <w:tblPrEx>
          <w:tblCellMar>
            <w:top w:w="0" w:type="dxa"/>
            <w:bottom w:w="0" w:type="dxa"/>
          </w:tblCellMar>
        </w:tblPrEx>
        <w:trPr>
          <w:trHeight w:val="133"/>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San Rocco al porto (LO)</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19</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8,0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34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6,6</w:t>
            </w:r>
          </w:p>
        </w:tc>
      </w:tr>
      <w:tr w:rsidR="00006AC7">
        <w:tblPrEx>
          <w:tblCellMar>
            <w:top w:w="0" w:type="dxa"/>
            <w:bottom w:w="0" w:type="dxa"/>
          </w:tblCellMar>
        </w:tblPrEx>
        <w:trPr>
          <w:trHeight w:val="127"/>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Santo Stefano Lodigiano (LO)</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12</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278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5,4</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27</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5,2</w:t>
            </w:r>
          </w:p>
        </w:tc>
      </w:tr>
      <w:tr w:rsidR="00006AC7">
        <w:tblPrEx>
          <w:tblCellMar>
            <w:top w:w="0" w:type="dxa"/>
            <w:bottom w:w="0" w:type="dxa"/>
          </w:tblCellMar>
        </w:tblPrEx>
        <w:trPr>
          <w:trHeight w:val="127"/>
        </w:trPr>
        <w:tc>
          <w:tcPr>
            <w:tcW w:w="1291" w:type="dxa"/>
            <w:shd w:val="clear" w:color="auto" w:fill="F3F3F3"/>
          </w:tcPr>
          <w:p w:rsidR="00006AC7" w:rsidRDefault="00006AC7">
            <w:pPr>
              <w:spacing w:after="0" w:line="240" w:lineRule="auto"/>
              <w:jc w:val="center"/>
              <w:rPr>
                <w:rFonts w:ascii="Times New Roman" w:hAnsi="Times New Roman" w:cs="Times New Roman"/>
                <w:b/>
                <w:bCs/>
                <w:color w:val="000000"/>
                <w:sz w:val="16"/>
                <w:szCs w:val="16"/>
                <w:lang w:eastAsia="it-IT"/>
              </w:rPr>
            </w:pPr>
            <w:r>
              <w:rPr>
                <w:rFonts w:ascii="Times New Roman" w:hAnsi="Times New Roman" w:cs="Times New Roman"/>
                <w:b/>
                <w:bCs/>
                <w:color w:val="000000"/>
                <w:sz w:val="16"/>
                <w:szCs w:val="16"/>
                <w:lang w:eastAsia="it-IT"/>
              </w:rPr>
              <w:t>Totale</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238</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100,0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15</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100,0</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516</w:t>
            </w:r>
          </w:p>
        </w:tc>
        <w:tc>
          <w:tcPr>
            <w:tcW w:w="1265" w:type="dxa"/>
          </w:tcPr>
          <w:p w:rsidR="00006AC7" w:rsidRDefault="00006AC7">
            <w:pPr>
              <w:spacing w:after="0" w:line="240" w:lineRule="auto"/>
              <w:jc w:val="center"/>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100,0</w:t>
            </w:r>
          </w:p>
        </w:tc>
      </w:tr>
    </w:tbl>
    <w:p w:rsidR="00006AC7" w:rsidRDefault="00006AC7"/>
    <w:p w:rsidR="00006AC7" w:rsidRDefault="00006AC7"/>
    <w:p w:rsidR="00006AC7" w:rsidRDefault="00006AC7"/>
    <w:p w:rsidR="00006AC7" w:rsidRDefault="00006AC7"/>
    <w:p w:rsidR="00006AC7" w:rsidRDefault="00006AC7">
      <w:pPr>
        <w:pStyle w:val="Heading7"/>
        <w:jc w:val="both"/>
        <w:rPr>
          <w:lang w:eastAsia="it-IT"/>
        </w:rPr>
      </w:pPr>
      <w:r>
        <w:rPr>
          <w:lang w:eastAsia="it-IT"/>
        </w:rPr>
        <w:t>Giudizi sull’apertura di un Casinò a San Nicolò a Trebbia (PC)</w:t>
      </w:r>
    </w:p>
    <w:p w:rsidR="00006AC7" w:rsidRDefault="00006AC7"/>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Distribuzione del campione per grado di accordo su cinque affermazioni riguardo i  benefici o i problemi indotti dall’apertura di un Casinò a San Nicolò a Trebbia (le percentuali sono calcolate sul totale dei rispondenti);</w:t>
      </w:r>
    </w:p>
    <w:p w:rsidR="00006AC7" w:rsidRDefault="00006AC7">
      <w:pPr>
        <w:spacing w:after="0" w:line="240" w:lineRule="auto"/>
        <w:rPr>
          <w:rFonts w:ascii="Times New Roman" w:hAnsi="Times New Roman" w:cs="Times New Roman"/>
          <w:color w:val="000000"/>
          <w:sz w:val="20"/>
          <w:szCs w:val="20"/>
          <w:lang w:eastAsia="it-IT"/>
        </w:rPr>
      </w:pPr>
    </w:p>
    <w:p w:rsidR="00006AC7" w:rsidRDefault="00006AC7">
      <w:pPr>
        <w:spacing w:after="0" w:line="240" w:lineRule="auto"/>
        <w:rPr>
          <w:rFonts w:ascii="Times New Roman" w:hAnsi="Times New Roman" w:cs="Times New Roman"/>
          <w:color w:val="000000"/>
          <w:sz w:val="20"/>
          <w:szCs w:val="20"/>
          <w:lang w:eastAsia="it-IT"/>
        </w:rPr>
      </w:pPr>
    </w:p>
    <w:tbl>
      <w:tblPr>
        <w:tblW w:w="0" w:type="auto"/>
        <w:tblInd w:w="2" w:type="dxa"/>
        <w:tblCellMar>
          <w:left w:w="0" w:type="dxa"/>
          <w:right w:w="0" w:type="dxa"/>
        </w:tblCellMar>
        <w:tblLook w:val="0000"/>
      </w:tblPr>
      <w:tblGrid>
        <w:gridCol w:w="3473"/>
        <w:gridCol w:w="620"/>
        <w:gridCol w:w="915"/>
        <w:gridCol w:w="620"/>
        <w:gridCol w:w="1152"/>
        <w:gridCol w:w="1152"/>
        <w:gridCol w:w="1152"/>
      </w:tblGrid>
      <w:tr w:rsidR="00006AC7">
        <w:trPr>
          <w:trHeight w:val="285"/>
        </w:trPr>
        <w:tc>
          <w:tcPr>
            <w:tcW w:w="5628" w:type="dxa"/>
            <w:gridSpan w:val="4"/>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b/>
                <w:bCs/>
                <w:lang w:eastAsia="it-IT"/>
              </w:rPr>
              <w:t>E' una buona idea aprire un casinò a Piacenza</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57"/>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55"/>
        </w:trPr>
        <w:tc>
          <w:tcPr>
            <w:tcW w:w="3473" w:type="dxa"/>
            <w:tcBorders>
              <w:top w:val="single" w:sz="4" w:space="0" w:color="auto"/>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grado di accordo</w:t>
            </w:r>
          </w:p>
        </w:tc>
        <w:tc>
          <w:tcPr>
            <w:tcW w:w="1535"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w:t>
            </w:r>
          </w:p>
        </w:tc>
        <w:tc>
          <w:tcPr>
            <w:tcW w:w="1772"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femmine</w:t>
            </w:r>
          </w:p>
        </w:tc>
        <w:tc>
          <w:tcPr>
            <w:tcW w:w="2304" w:type="dxa"/>
            <w:gridSpan w:val="2"/>
            <w:tcBorders>
              <w:top w:val="single" w:sz="4" w:space="0" w:color="auto"/>
              <w:left w:val="nil"/>
              <w:bottom w:val="nil"/>
              <w:right w:val="single" w:sz="4" w:space="0" w:color="000000"/>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 + femmine</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Molto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75</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31,6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72</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26,0</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147</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28,6</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Abbastanza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32,9</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75</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153</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29,8</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Poco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31</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13,1</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46</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16,6</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77</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15,0</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Per niente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39</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16,5</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52</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18,8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91</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17,7</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Non sa </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14</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5,9</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32</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11,5</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46</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8,9</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i/>
                <w:iCs/>
                <w:sz w:val="20"/>
                <w:szCs w:val="20"/>
                <w:lang w:eastAsia="it-IT"/>
              </w:rPr>
              <w:t>Non risponde</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2</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0,4</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Totale</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238</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278</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516</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r>
      <w:tr w:rsidR="00006AC7">
        <w:trPr>
          <w:trHeight w:val="25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85"/>
        </w:trPr>
        <w:tc>
          <w:tcPr>
            <w:tcW w:w="5008" w:type="dxa"/>
            <w:gridSpan w:val="3"/>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b/>
                <w:bCs/>
                <w:lang w:eastAsia="it-IT"/>
              </w:rPr>
              <w:t>Porterà benefici all'economia locale</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10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55"/>
        </w:trPr>
        <w:tc>
          <w:tcPr>
            <w:tcW w:w="3473" w:type="dxa"/>
            <w:tcBorders>
              <w:top w:val="single" w:sz="4" w:space="0" w:color="auto"/>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grado di accordo</w:t>
            </w:r>
          </w:p>
        </w:tc>
        <w:tc>
          <w:tcPr>
            <w:tcW w:w="1535"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w:t>
            </w:r>
          </w:p>
        </w:tc>
        <w:tc>
          <w:tcPr>
            <w:tcW w:w="1772"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femmine</w:t>
            </w:r>
          </w:p>
        </w:tc>
        <w:tc>
          <w:tcPr>
            <w:tcW w:w="2304" w:type="dxa"/>
            <w:gridSpan w:val="2"/>
            <w:tcBorders>
              <w:top w:val="single" w:sz="4" w:space="0" w:color="auto"/>
              <w:left w:val="nil"/>
              <w:bottom w:val="nil"/>
              <w:right w:val="single" w:sz="4" w:space="0" w:color="000000"/>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 + femmine</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Molto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116</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48,7</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36,1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216</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41,9</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Abbastanza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70</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29,4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99</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35,7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169</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32,8</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Poco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22</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9,2</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50</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9,7</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Per niente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42</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8,2</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Non sa </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12</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26</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38</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7,4</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i/>
                <w:iCs/>
                <w:sz w:val="20"/>
                <w:szCs w:val="20"/>
                <w:lang w:eastAsia="it-IT"/>
              </w:rPr>
              <w:t>Non risponde</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0,0</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0,2</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Totale</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238</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278</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516</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r>
      <w:tr w:rsidR="00006AC7">
        <w:trPr>
          <w:trHeight w:val="25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85"/>
        </w:trPr>
        <w:tc>
          <w:tcPr>
            <w:tcW w:w="6780" w:type="dxa"/>
            <w:gridSpan w:val="5"/>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b/>
                <w:bCs/>
                <w:lang w:eastAsia="it-IT"/>
              </w:rPr>
              <w:t>Aumenterà la congestione dovuta al traffico e all'affollamento</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10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55"/>
        </w:trPr>
        <w:tc>
          <w:tcPr>
            <w:tcW w:w="3473" w:type="dxa"/>
            <w:tcBorders>
              <w:top w:val="single" w:sz="4" w:space="0" w:color="auto"/>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grado di accordo</w:t>
            </w:r>
          </w:p>
        </w:tc>
        <w:tc>
          <w:tcPr>
            <w:tcW w:w="1535"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w:t>
            </w:r>
          </w:p>
        </w:tc>
        <w:tc>
          <w:tcPr>
            <w:tcW w:w="1772"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femmine</w:t>
            </w:r>
          </w:p>
        </w:tc>
        <w:tc>
          <w:tcPr>
            <w:tcW w:w="2304" w:type="dxa"/>
            <w:gridSpan w:val="2"/>
            <w:tcBorders>
              <w:top w:val="single" w:sz="4" w:space="0" w:color="auto"/>
              <w:left w:val="nil"/>
              <w:bottom w:val="nil"/>
              <w:right w:val="single" w:sz="4" w:space="0" w:color="000000"/>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 + femmine</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Molto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41,4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130</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46,8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228</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44,3</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Abbastanza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75</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31,6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30,2</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159</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30,9</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Poco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25</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53</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10,3</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Per niente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33</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13,9</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19</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52</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Non sa </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2,5</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4,5</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i/>
                <w:iCs/>
                <w:sz w:val="20"/>
                <w:szCs w:val="20"/>
                <w:lang w:eastAsia="it-IT"/>
              </w:rPr>
              <w:t>Non risponde</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0,0</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1</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0,2</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Totale</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238</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278</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516</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r>
      <w:tr w:rsidR="00006AC7">
        <w:trPr>
          <w:trHeight w:val="25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85"/>
        </w:trPr>
        <w:tc>
          <w:tcPr>
            <w:tcW w:w="5008" w:type="dxa"/>
            <w:gridSpan w:val="3"/>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b/>
                <w:bCs/>
                <w:lang w:eastAsia="it-IT"/>
              </w:rPr>
              <w:t>Porterà un aumento della criminalità</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135"/>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55"/>
        </w:trPr>
        <w:tc>
          <w:tcPr>
            <w:tcW w:w="3473" w:type="dxa"/>
            <w:tcBorders>
              <w:top w:val="single" w:sz="4" w:space="0" w:color="auto"/>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grado di accordo</w:t>
            </w:r>
          </w:p>
        </w:tc>
        <w:tc>
          <w:tcPr>
            <w:tcW w:w="1535"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w:t>
            </w:r>
          </w:p>
        </w:tc>
        <w:tc>
          <w:tcPr>
            <w:tcW w:w="1772"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femmine</w:t>
            </w:r>
          </w:p>
        </w:tc>
        <w:tc>
          <w:tcPr>
            <w:tcW w:w="2304" w:type="dxa"/>
            <w:gridSpan w:val="2"/>
            <w:tcBorders>
              <w:top w:val="single" w:sz="4" w:space="0" w:color="auto"/>
              <w:left w:val="nil"/>
              <w:bottom w:val="nil"/>
              <w:right w:val="single" w:sz="4" w:space="0" w:color="000000"/>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 + femmine</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Molto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24,4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66</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124</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24,0</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Abbastanza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55</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23,1</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79</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28,4</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134</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26,0</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Poco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47</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19,7</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16,9</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94</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18,2</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Per niente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65</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27,3</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53</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19,1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118</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22,9</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Non sa </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5,5</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33</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11,9</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46</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8,9</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i/>
                <w:iCs/>
                <w:sz w:val="20"/>
                <w:szCs w:val="20"/>
                <w:lang w:eastAsia="it-IT"/>
              </w:rPr>
              <w:t>Non risponde</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Totale</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238</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278</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516</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r>
      <w:tr w:rsidR="00006AC7">
        <w:trPr>
          <w:trHeight w:val="285"/>
        </w:trPr>
        <w:tc>
          <w:tcPr>
            <w:tcW w:w="9084" w:type="dxa"/>
            <w:gridSpan w:val="7"/>
            <w:tcBorders>
              <w:top w:val="nil"/>
              <w:left w:val="nil"/>
              <w:bottom w:val="nil"/>
              <w:right w:val="nil"/>
            </w:tcBorders>
            <w:vAlign w:val="bottom"/>
          </w:tcPr>
          <w:p w:rsidR="00006AC7" w:rsidRDefault="00006AC7">
            <w:pPr>
              <w:spacing w:before="100" w:beforeAutospacing="1" w:after="100" w:afterAutospacing="1" w:line="240" w:lineRule="auto"/>
              <w:rPr>
                <w:rFonts w:ascii="Times New Roman" w:hAnsi="Times New Roman" w:cs="Times New Roman"/>
                <w:b/>
                <w:bCs/>
                <w:lang w:eastAsia="it-IT"/>
              </w:rPr>
            </w:pPr>
            <w:r>
              <w:rPr>
                <w:rFonts w:ascii="Times New Roman" w:hAnsi="Times New Roman" w:cs="Times New Roman"/>
                <w:b/>
                <w:bCs/>
                <w:lang w:eastAsia="it-IT"/>
              </w:rPr>
              <w:t>Aumenterà il numero delle persone dipendenti dal gioco o che ha problemi con il gioco</w:t>
            </w:r>
          </w:p>
        </w:tc>
      </w:tr>
      <w:tr w:rsidR="00006AC7">
        <w:trPr>
          <w:trHeight w:val="150"/>
        </w:trPr>
        <w:tc>
          <w:tcPr>
            <w:tcW w:w="3473"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915"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1152" w:type="dxa"/>
            <w:tcBorders>
              <w:top w:val="nil"/>
              <w:left w:val="nil"/>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r>
      <w:tr w:rsidR="00006AC7">
        <w:trPr>
          <w:trHeight w:val="255"/>
        </w:trPr>
        <w:tc>
          <w:tcPr>
            <w:tcW w:w="3473" w:type="dxa"/>
            <w:tcBorders>
              <w:top w:val="single" w:sz="4" w:space="0" w:color="auto"/>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grado di accordo</w:t>
            </w:r>
          </w:p>
        </w:tc>
        <w:tc>
          <w:tcPr>
            <w:tcW w:w="1535"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w:t>
            </w:r>
          </w:p>
        </w:tc>
        <w:tc>
          <w:tcPr>
            <w:tcW w:w="1772" w:type="dxa"/>
            <w:gridSpan w:val="2"/>
            <w:tcBorders>
              <w:top w:val="single" w:sz="4" w:space="0" w:color="auto"/>
              <w:left w:val="nil"/>
              <w:bottom w:val="nil"/>
              <w:right w:val="nil"/>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femmine</w:t>
            </w:r>
          </w:p>
        </w:tc>
        <w:tc>
          <w:tcPr>
            <w:tcW w:w="2304" w:type="dxa"/>
            <w:gridSpan w:val="2"/>
            <w:tcBorders>
              <w:top w:val="single" w:sz="4" w:space="0" w:color="auto"/>
              <w:left w:val="nil"/>
              <w:bottom w:val="nil"/>
              <w:right w:val="single" w:sz="4" w:space="0" w:color="000000"/>
            </w:tcBorders>
            <w:vAlign w:val="bottom"/>
          </w:tcPr>
          <w:p w:rsidR="00006AC7" w:rsidRDefault="00006AC7">
            <w:pPr>
              <w:spacing w:after="0" w:line="240" w:lineRule="auto"/>
              <w:jc w:val="center"/>
              <w:rPr>
                <w:rFonts w:ascii="Times New Roman" w:hAnsi="Times New Roman" w:cs="Times New Roman"/>
                <w:sz w:val="20"/>
                <w:szCs w:val="20"/>
                <w:lang w:eastAsia="it-IT"/>
              </w:rPr>
            </w:pPr>
            <w:r>
              <w:rPr>
                <w:rFonts w:ascii="Times New Roman" w:hAnsi="Times New Roman" w:cs="Times New Roman"/>
                <w:sz w:val="20"/>
                <w:szCs w:val="20"/>
                <w:lang w:eastAsia="it-IT"/>
              </w:rPr>
              <w:t>maschi + femmine</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 </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val="de-DE" w:eastAsia="it-IT"/>
              </w:rPr>
            </w:pPr>
            <w:r>
              <w:rPr>
                <w:rFonts w:ascii="Times New Roman" w:hAnsi="Times New Roman" w:cs="Times New Roman"/>
                <w:sz w:val="20"/>
                <w:szCs w:val="20"/>
                <w:lang w:val="de-DE" w:eastAsia="it-IT"/>
              </w:rPr>
              <w:t>n</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Molto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32,7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159</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30,8</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Abbastanza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28,6</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85</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30,6</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153</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29,7</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Poco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36</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15,1</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48</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17,3</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84</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16,3</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Per niente d'accordo</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24,4</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13,3</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95</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18,4</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Non sa </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8</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3,3</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17</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6,1</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25</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4,8</w:t>
            </w:r>
          </w:p>
        </w:tc>
      </w:tr>
      <w:tr w:rsidR="00006AC7">
        <w:trPr>
          <w:trHeight w:val="255"/>
        </w:trPr>
        <w:tc>
          <w:tcPr>
            <w:tcW w:w="3473" w:type="dxa"/>
            <w:tcBorders>
              <w:top w:val="nil"/>
              <w:left w:val="single" w:sz="4" w:space="0" w:color="auto"/>
              <w:bottom w:val="nil"/>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i/>
                <w:iCs/>
                <w:sz w:val="20"/>
                <w:szCs w:val="20"/>
                <w:lang w:eastAsia="it-IT"/>
              </w:rPr>
              <w:t>Non risponde</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915"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620"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c>
          <w:tcPr>
            <w:tcW w:w="1152" w:type="dxa"/>
            <w:tcBorders>
              <w:top w:val="nil"/>
              <w:left w:val="nil"/>
              <w:bottom w:val="nil"/>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i/>
                <w:iCs/>
                <w:sz w:val="20"/>
                <w:szCs w:val="20"/>
                <w:lang w:eastAsia="it-IT"/>
              </w:rPr>
              <w:t>-</w:t>
            </w:r>
          </w:p>
        </w:tc>
      </w:tr>
      <w:tr w:rsidR="00006AC7">
        <w:trPr>
          <w:trHeight w:val="255"/>
        </w:trPr>
        <w:tc>
          <w:tcPr>
            <w:tcW w:w="3473" w:type="dxa"/>
            <w:tcBorders>
              <w:top w:val="nil"/>
              <w:left w:val="single" w:sz="4" w:space="0" w:color="auto"/>
              <w:bottom w:val="single" w:sz="4" w:space="0" w:color="auto"/>
              <w:right w:val="nil"/>
            </w:tcBorders>
            <w:vAlign w:val="bottom"/>
          </w:tcPr>
          <w:p w:rsidR="00006AC7" w:rsidRDefault="00006AC7">
            <w:pPr>
              <w:spacing w:after="0" w:line="240" w:lineRule="auto"/>
              <w:rPr>
                <w:rFonts w:ascii="Times New Roman" w:hAnsi="Times New Roman" w:cs="Times New Roman"/>
                <w:sz w:val="20"/>
                <w:szCs w:val="20"/>
                <w:lang w:eastAsia="it-IT"/>
              </w:rPr>
            </w:pPr>
            <w:r>
              <w:rPr>
                <w:rFonts w:ascii="Times New Roman" w:hAnsi="Times New Roman" w:cs="Times New Roman"/>
                <w:sz w:val="20"/>
                <w:szCs w:val="20"/>
                <w:lang w:eastAsia="it-IT"/>
              </w:rPr>
              <w:t>Totale</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238</w:t>
            </w:r>
          </w:p>
        </w:tc>
        <w:tc>
          <w:tcPr>
            <w:tcW w:w="915"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620"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278</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c>
          <w:tcPr>
            <w:tcW w:w="1152" w:type="dxa"/>
            <w:tcBorders>
              <w:top w:val="nil"/>
              <w:left w:val="nil"/>
              <w:bottom w:val="single" w:sz="4" w:space="0" w:color="auto"/>
              <w:right w:val="nil"/>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516</w:t>
            </w:r>
          </w:p>
        </w:tc>
        <w:tc>
          <w:tcPr>
            <w:tcW w:w="1152" w:type="dxa"/>
            <w:tcBorders>
              <w:top w:val="nil"/>
              <w:left w:val="nil"/>
              <w:bottom w:val="single" w:sz="4" w:space="0" w:color="auto"/>
              <w:right w:val="single" w:sz="4" w:space="0" w:color="auto"/>
            </w:tcBorders>
            <w:vAlign w:val="bottom"/>
          </w:tcPr>
          <w:p w:rsidR="00006AC7" w:rsidRDefault="00006AC7">
            <w:pPr>
              <w:spacing w:after="0" w:line="240" w:lineRule="auto"/>
              <w:jc w:val="right"/>
              <w:rPr>
                <w:rFonts w:ascii="Times New Roman" w:hAnsi="Times New Roman" w:cs="Times New Roman"/>
                <w:sz w:val="20"/>
                <w:szCs w:val="20"/>
                <w:lang w:eastAsia="it-IT"/>
              </w:rPr>
            </w:pPr>
            <w:r>
              <w:rPr>
                <w:rFonts w:ascii="Times New Roman" w:hAnsi="Times New Roman" w:cs="Times New Roman"/>
                <w:sz w:val="20"/>
                <w:szCs w:val="20"/>
                <w:lang w:eastAsia="it-IT"/>
              </w:rPr>
              <w:t>100,0</w:t>
            </w:r>
          </w:p>
        </w:tc>
      </w:tr>
    </w:tbl>
    <w:p w:rsidR="00006AC7" w:rsidRDefault="00006AC7">
      <w:pPr>
        <w:spacing w:after="0" w:line="300" w:lineRule="atLeast"/>
        <w:ind w:firstLine="708"/>
        <w:rPr>
          <w:rFonts w:ascii="Times New Roman" w:hAnsi="Times New Roman" w:cs="Times New Roman"/>
          <w:color w:val="000000"/>
          <w:sz w:val="20"/>
          <w:szCs w:val="20"/>
          <w:lang w:eastAsia="it-IT"/>
        </w:rPr>
      </w:pPr>
      <w:r>
        <w:rPr>
          <w:rFonts w:ascii="Times New Roman" w:hAnsi="Times New Roman" w:cs="Times New Roman"/>
          <w:color w:val="000000"/>
          <w:sz w:val="24"/>
          <w:szCs w:val="24"/>
          <w:lang w:eastAsia="it-IT"/>
        </w:rPr>
        <w:t> </w:t>
      </w:r>
    </w:p>
    <w:p w:rsidR="00006AC7" w:rsidRDefault="00006AC7">
      <w:pPr>
        <w:pStyle w:val="BodyText2"/>
        <w:rPr>
          <w:rFonts w:ascii="Times New Roman" w:hAnsi="Times New Roman" w:cs="Times New Roman"/>
          <w:color w:val="000000"/>
        </w:rPr>
      </w:pPr>
      <w:r>
        <w:rPr>
          <w:rFonts w:ascii="Times New Roman" w:hAnsi="Times New Roman" w:cs="Times New Roman"/>
          <w:color w:val="000000"/>
        </w:rPr>
        <w:t xml:space="preserve">Il campione raggiunge il massimo dell’accordo (75% molto d’accordo e abbastanza d’accordo) rispetto all’opinione che “ci saranno benefici per l’economia locale”, ed al tempo stesso che ci sarà anche un “aumento della congestione dovuta al traffico ed all’affollamento”. Seppure con minor forza, la maggioranza è d’accordo sull’opinione che ci sarà anche un “aumento delle persone dipendenti dal gioco o che ha problemi con il gioco” (60% di accordo), mentre minori sono i timori per un “aumento della criminalità” (50% di accordo). </w:t>
      </w:r>
      <w:r>
        <w:rPr>
          <w:rFonts w:ascii="Times New Roman" w:hAnsi="Times New Roman" w:cs="Times New Roman"/>
          <w:color w:val="FF0000"/>
        </w:rPr>
        <w:t>Indipendentemente dai “pro e contro”, comunque, la maggioranza assoluta (58%) ritiene che l’apertura del Casinò è una “buona idea”.</w:t>
      </w:r>
      <w:r>
        <w:rPr>
          <w:rFonts w:ascii="Times New Roman" w:hAnsi="Times New Roman" w:cs="Times New Roman"/>
          <w:color w:val="000000"/>
        </w:rPr>
        <w:t> </w:t>
      </w:r>
    </w:p>
    <w:p w:rsidR="00006AC7" w:rsidRDefault="00006AC7">
      <w:pPr>
        <w:spacing w:after="0" w:line="300" w:lineRule="atLeast"/>
        <w:ind w:firstLine="142"/>
        <w:rPr>
          <w:rFonts w:ascii="Times New Roman" w:hAnsi="Times New Roman" w:cs="Times New Roman"/>
          <w:color w:val="000000"/>
          <w:sz w:val="16"/>
          <w:szCs w:val="16"/>
          <w:lang w:eastAsia="it-IT"/>
        </w:rPr>
      </w:pPr>
      <w:r>
        <w:rPr>
          <w:rFonts w:ascii="Times New Roman" w:hAnsi="Times New Roman" w:cs="Times New Roman"/>
          <w:color w:val="000000"/>
          <w:sz w:val="16"/>
          <w:szCs w:val="16"/>
          <w:lang w:eastAsia="it-IT"/>
        </w:rPr>
        <w:t> </w:t>
      </w:r>
    </w:p>
    <w:p w:rsidR="00006AC7" w:rsidRDefault="00006AC7">
      <w:pPr>
        <w:spacing w:after="0" w:line="300" w:lineRule="atLeast"/>
        <w:ind w:firstLine="142"/>
        <w:rPr>
          <w:rFonts w:ascii="Times New Roman" w:hAnsi="Times New Roman" w:cs="Times New Roman"/>
          <w:color w:val="000000"/>
          <w:sz w:val="16"/>
          <w:szCs w:val="16"/>
          <w:lang w:eastAsia="it-IT"/>
        </w:rPr>
      </w:pPr>
    </w:p>
    <w:p w:rsidR="00006AC7" w:rsidRDefault="00006AC7">
      <w:pPr>
        <w:spacing w:after="0" w:line="300" w:lineRule="atLeast"/>
        <w:ind w:firstLine="142"/>
        <w:rPr>
          <w:rFonts w:ascii="Times New Roman" w:hAnsi="Times New Roman" w:cs="Times New Roman"/>
          <w:color w:val="000000"/>
          <w:sz w:val="16"/>
          <w:szCs w:val="16"/>
          <w:lang w:eastAsia="it-IT"/>
        </w:rPr>
      </w:pPr>
    </w:p>
    <w:p w:rsidR="00006AC7" w:rsidRDefault="00006AC7">
      <w:pPr>
        <w:spacing w:after="0" w:line="300" w:lineRule="atLeast"/>
        <w:ind w:firstLine="142"/>
        <w:rPr>
          <w:rFonts w:ascii="Times New Roman" w:hAnsi="Times New Roman" w:cs="Times New Roman"/>
          <w:color w:val="000000"/>
          <w:sz w:val="16"/>
          <w:szCs w:val="16"/>
          <w:lang w:eastAsia="it-IT"/>
        </w:rPr>
      </w:pPr>
    </w:p>
    <w:p w:rsidR="00006AC7" w:rsidRDefault="00006AC7">
      <w:pPr>
        <w:spacing w:after="0" w:line="300" w:lineRule="atLeast"/>
        <w:ind w:firstLine="142"/>
        <w:rPr>
          <w:rFonts w:ascii="Times New Roman" w:hAnsi="Times New Roman" w:cs="Times New Roman"/>
          <w:color w:val="000000"/>
          <w:sz w:val="16"/>
          <w:szCs w:val="16"/>
          <w:lang w:eastAsia="it-IT"/>
        </w:rPr>
      </w:pP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Distribuzione percentuale dei soggetti per grado di accordo rispetto a cinque affermazioni relative agli effetti dell’apertura di un Casinò a San Nicolò a Trebbia;</w:t>
      </w:r>
    </w:p>
    <w:p w:rsidR="00006AC7" w:rsidRDefault="00006AC7">
      <w:pPr>
        <w:spacing w:after="0" w:line="300" w:lineRule="atLeast"/>
        <w:ind w:firstLine="142"/>
        <w:rPr>
          <w:rFonts w:ascii="Times New Roman" w:hAnsi="Times New Roman" w:cs="Times New Roman"/>
          <w:color w:val="000000"/>
          <w:sz w:val="20"/>
          <w:szCs w:val="20"/>
          <w:lang w:eastAsia="it-IT"/>
        </w:rPr>
      </w:pPr>
    </w:p>
    <w:p w:rsidR="00006AC7" w:rsidRDefault="00006AC7">
      <w:pPr>
        <w:spacing w:after="0" w:line="300" w:lineRule="atLeast"/>
        <w:ind w:firstLine="708"/>
        <w:rPr>
          <w:rFonts w:ascii="Times New Roman" w:hAnsi="Times New Roman" w:cs="Times New Roman"/>
          <w:color w:val="000000"/>
          <w:sz w:val="20"/>
          <w:szCs w:val="20"/>
          <w:lang w:eastAsia="it-IT"/>
        </w:rPr>
      </w:pPr>
      <w:r>
        <w:rPr>
          <w:rFonts w:ascii="Times New Roman" w:hAnsi="Times New Roman" w:cs="Times New Roman"/>
          <w:noProof/>
          <w:color w:val="000000"/>
          <w:sz w:val="20"/>
          <w:szCs w:val="20"/>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3" o:spid="_x0000_i1025" type="#_x0000_t75" alt="http://www1.usl3.toscana.it/uoaziendali/sertvdn/sito/giocaretroppo_file/image052.gif" style="width:409.5pt;height:263.25pt;visibility:visible">
            <v:imagedata r:id="rId5" o:title=""/>
          </v:shape>
        </w:pict>
      </w:r>
    </w:p>
    <w:p w:rsidR="00006AC7" w:rsidRDefault="00006AC7">
      <w:pPr>
        <w:spacing w:after="0" w:line="240" w:lineRule="auto"/>
        <w:ind w:left="142"/>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br w:type="textWrapping" w:clear="all"/>
      </w:r>
    </w:p>
    <w:p w:rsidR="00006AC7" w:rsidRDefault="00006AC7">
      <w:pPr>
        <w:spacing w:after="0" w:line="240" w:lineRule="auto"/>
        <w:ind w:left="142"/>
        <w:rPr>
          <w:rFonts w:ascii="Times New Roman" w:hAnsi="Times New Roman" w:cs="Times New Roman"/>
          <w:color w:val="000000"/>
          <w:sz w:val="20"/>
          <w:szCs w:val="20"/>
          <w:lang w:eastAsia="it-IT"/>
        </w:rPr>
      </w:pPr>
    </w:p>
    <w:p w:rsidR="00006AC7" w:rsidRDefault="00006AC7">
      <w:pPr>
        <w:spacing w:after="0" w:line="240" w:lineRule="auto"/>
        <w:ind w:left="142"/>
        <w:rPr>
          <w:rFonts w:ascii="Times New Roman" w:hAnsi="Times New Roman" w:cs="Times New Roman"/>
          <w:color w:val="000000"/>
          <w:sz w:val="20"/>
          <w:szCs w:val="20"/>
          <w:lang w:eastAsia="it-IT"/>
        </w:rPr>
      </w:pPr>
    </w:p>
    <w:p w:rsidR="00006AC7" w:rsidRDefault="00006AC7">
      <w:pPr>
        <w:spacing w:after="0" w:line="240" w:lineRule="auto"/>
        <w:ind w:left="142"/>
        <w:rPr>
          <w:rFonts w:ascii="Times New Roman" w:hAnsi="Times New Roman" w:cs="Times New Roman"/>
          <w:color w:val="000000"/>
          <w:sz w:val="20"/>
          <w:szCs w:val="20"/>
          <w:lang w:eastAsia="it-IT"/>
        </w:rPr>
      </w:pPr>
    </w:p>
    <w:p w:rsidR="00006AC7" w:rsidRDefault="00006AC7">
      <w:pPr>
        <w:spacing w:after="0" w:line="240" w:lineRule="auto"/>
        <w:ind w:left="142"/>
        <w:rPr>
          <w:rFonts w:ascii="Times New Roman" w:hAnsi="Times New Roman" w:cs="Times New Roman"/>
          <w:color w:val="000000"/>
          <w:sz w:val="20"/>
          <w:szCs w:val="20"/>
          <w:lang w:eastAsia="it-IT"/>
        </w:rPr>
      </w:pPr>
    </w:p>
    <w:p w:rsidR="00006AC7" w:rsidRDefault="00006AC7">
      <w:pPr>
        <w:spacing w:after="0" w:line="300" w:lineRule="atLeast"/>
        <w:rPr>
          <w:rFonts w:ascii="Times New Roman" w:hAnsi="Times New Roman" w:cs="Times New Roman"/>
          <w:color w:val="000000"/>
          <w:sz w:val="20"/>
          <w:szCs w:val="20"/>
          <w:lang w:eastAsia="it-IT"/>
        </w:rPr>
      </w:pPr>
      <w:r>
        <w:rPr>
          <w:rFonts w:ascii="Times New Roman" w:hAnsi="Times New Roman" w:cs="Times New Roman"/>
          <w:color w:val="000000"/>
          <w:sz w:val="24"/>
          <w:szCs w:val="24"/>
          <w:lang w:eastAsia="it-IT"/>
        </w:rPr>
        <w:t>  </w:t>
      </w: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Punteggio medio del grado di accordo (da 0 a 10) su cinque affermazioni relative all’apertura di un Casinò a San Nicolò a Trebbia distinto per sesso;</w:t>
      </w:r>
    </w:p>
    <w:p w:rsidR="00006AC7" w:rsidRDefault="00006AC7">
      <w:pPr>
        <w:spacing w:after="0" w:line="240" w:lineRule="auto"/>
        <w:ind w:left="360"/>
        <w:rPr>
          <w:rFonts w:ascii="Times New Roman" w:hAnsi="Times New Roman" w:cs="Times New Roman"/>
          <w:color w:val="000000"/>
          <w:sz w:val="20"/>
          <w:szCs w:val="20"/>
          <w:lang w:eastAsia="it-IT"/>
        </w:rPr>
      </w:pPr>
    </w:p>
    <w:p w:rsidR="00006AC7" w:rsidRDefault="00006AC7">
      <w:pPr>
        <w:spacing w:after="0" w:line="300" w:lineRule="atLeast"/>
        <w:ind w:firstLine="708"/>
        <w:rPr>
          <w:rFonts w:ascii="Times New Roman" w:hAnsi="Times New Roman" w:cs="Times New Roman"/>
          <w:color w:val="000000"/>
          <w:sz w:val="24"/>
          <w:szCs w:val="24"/>
          <w:lang w:eastAsia="it-IT"/>
        </w:rPr>
      </w:pPr>
      <w:r>
        <w:rPr>
          <w:rFonts w:ascii="Times New Roman" w:hAnsi="Times New Roman" w:cs="Times New Roman"/>
          <w:noProof/>
          <w:color w:val="000000"/>
          <w:sz w:val="20"/>
          <w:szCs w:val="20"/>
          <w:lang w:eastAsia="it-IT"/>
        </w:rPr>
        <w:pict>
          <v:shape id="Immagine 24" o:spid="_x0000_i1026" type="#_x0000_t75" alt="http://www1.usl3.toscana.it/uoaziendali/sertvdn/sito/giocaretroppo_file/image054.gif" style="width:417.75pt;height:232.5pt;visibility:visible">
            <v:imagedata r:id="rId6" o:title=""/>
          </v:shape>
        </w:pict>
      </w:r>
      <w:r>
        <w:rPr>
          <w:rFonts w:ascii="Times New Roman" w:hAnsi="Times New Roman" w:cs="Times New Roman"/>
          <w:color w:val="000000"/>
          <w:sz w:val="20"/>
          <w:szCs w:val="20"/>
          <w:lang w:eastAsia="it-IT"/>
        </w:rPr>
        <w:br w:type="textWrapping" w:clear="all"/>
      </w:r>
      <w:r>
        <w:rPr>
          <w:rFonts w:ascii="Times New Roman" w:hAnsi="Times New Roman" w:cs="Times New Roman"/>
          <w:color w:val="000000"/>
          <w:sz w:val="24"/>
          <w:szCs w:val="24"/>
          <w:lang w:eastAsia="it-IT"/>
        </w:rPr>
        <w:t> </w:t>
      </w:r>
    </w:p>
    <w:p w:rsidR="00006AC7" w:rsidRDefault="00006AC7">
      <w:pPr>
        <w:spacing w:after="0" w:line="300" w:lineRule="atLeast"/>
        <w:ind w:firstLine="708"/>
        <w:rPr>
          <w:rFonts w:ascii="Times New Roman" w:hAnsi="Times New Roman" w:cs="Times New Roman"/>
          <w:color w:val="000000"/>
          <w:sz w:val="20"/>
          <w:szCs w:val="20"/>
          <w:lang w:eastAsia="it-IT"/>
        </w:rPr>
      </w:pPr>
    </w:p>
    <w:p w:rsidR="00006AC7" w:rsidRDefault="00006AC7">
      <w:pPr>
        <w:spacing w:after="0" w:line="300" w:lineRule="atLeast"/>
        <w:ind w:firstLine="708"/>
        <w:rPr>
          <w:rFonts w:ascii="Times New Roman" w:hAnsi="Times New Roman" w:cs="Times New Roman"/>
          <w:color w:val="000000"/>
          <w:sz w:val="20"/>
          <w:szCs w:val="20"/>
          <w:lang w:eastAsia="it-IT"/>
        </w:rPr>
      </w:pPr>
    </w:p>
    <w:p w:rsidR="00006AC7" w:rsidRDefault="00006AC7">
      <w:pPr>
        <w:spacing w:after="0" w:line="300" w:lineRule="atLeast"/>
        <w:ind w:firstLine="708"/>
        <w:rPr>
          <w:rFonts w:ascii="Times New Roman" w:hAnsi="Times New Roman" w:cs="Times New Roman"/>
          <w:color w:val="000000"/>
          <w:sz w:val="20"/>
          <w:szCs w:val="20"/>
          <w:lang w:eastAsia="it-IT"/>
        </w:rPr>
      </w:pPr>
    </w:p>
    <w:p w:rsidR="00006AC7" w:rsidRDefault="00006AC7">
      <w:pPr>
        <w:spacing w:after="0" w:line="300" w:lineRule="atLeast"/>
        <w:ind w:firstLine="708"/>
        <w:rPr>
          <w:rFonts w:ascii="Times New Roman" w:hAnsi="Times New Roman" w:cs="Times New Roman"/>
          <w:color w:val="000000"/>
          <w:sz w:val="20"/>
          <w:szCs w:val="20"/>
          <w:lang w:eastAsia="it-IT"/>
        </w:rPr>
      </w:pPr>
      <w:r>
        <w:rPr>
          <w:rFonts w:ascii="Times New Roman" w:hAnsi="Times New Roman" w:cs="Times New Roman"/>
          <w:color w:val="000000"/>
          <w:sz w:val="24"/>
          <w:szCs w:val="24"/>
          <w:lang w:eastAsia="it-IT"/>
        </w:rPr>
        <w:t> </w:t>
      </w: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 Punteggio medio del grado di accordo (da 0 a 10) su cinque affermazioni relative all’apertura di un Casinò a San Nicolò a Trebbia distinto per classi di età;</w:t>
      </w:r>
    </w:p>
    <w:p w:rsidR="00006AC7" w:rsidRDefault="00006AC7">
      <w:pPr>
        <w:spacing w:after="0" w:line="240" w:lineRule="auto"/>
        <w:ind w:left="360"/>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r>
        <w:rPr>
          <w:rFonts w:ascii="Times New Roman" w:hAnsi="Times New Roman" w:cs="Times New Roman"/>
          <w:noProof/>
          <w:color w:val="000000"/>
          <w:sz w:val="20"/>
          <w:szCs w:val="20"/>
          <w:lang w:eastAsia="it-IT"/>
        </w:rPr>
        <w:pict>
          <v:shape id="Immagine 25" o:spid="_x0000_i1027" type="#_x0000_t75" alt="http://www1.usl3.toscana.it/uoaziendali/sertvdn/sito/giocaretroppo_file/image056.gif" style="width:464.25pt;height:214.5pt;visibility:visible">
            <v:imagedata r:id="rId7" o:title=""/>
          </v:shape>
        </w:pict>
      </w: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Punteggio medio del grado di accordo (da 0 a 10) su cinque affermazioni relative all’apertura di un Casinò a San Nicolò a Trebbia distinto per scolarità;</w:t>
      </w:r>
    </w:p>
    <w:p w:rsidR="00006AC7" w:rsidRDefault="00006AC7">
      <w:pPr>
        <w:spacing w:after="0" w:line="300" w:lineRule="atLeast"/>
        <w:ind w:firstLine="708"/>
        <w:rPr>
          <w:rFonts w:ascii="Times New Roman" w:hAnsi="Times New Roman" w:cs="Times New Roman"/>
          <w:color w:val="000000"/>
          <w:sz w:val="20"/>
          <w:szCs w:val="20"/>
          <w:lang w:eastAsia="it-IT"/>
        </w:rPr>
      </w:pPr>
    </w:p>
    <w:tbl>
      <w:tblPr>
        <w:tblW w:w="10160" w:type="dxa"/>
        <w:tblCellSpacing w:w="0" w:type="dxa"/>
        <w:tblInd w:w="2" w:type="dxa"/>
        <w:tblCellMar>
          <w:left w:w="0" w:type="dxa"/>
          <w:right w:w="0" w:type="dxa"/>
        </w:tblCellMar>
        <w:tblLook w:val="0000"/>
      </w:tblPr>
      <w:tblGrid>
        <w:gridCol w:w="50"/>
        <w:gridCol w:w="10110"/>
      </w:tblGrid>
      <w:tr w:rsidR="00006AC7">
        <w:trPr>
          <w:tblCellSpacing w:w="0" w:type="dxa"/>
        </w:trPr>
        <w:tc>
          <w:tcPr>
            <w:tcW w:w="0" w:type="auto"/>
            <w:tcBorders>
              <w:top w:val="nil"/>
              <w:left w:val="nil"/>
              <w:bottom w:val="nil"/>
              <w:right w:val="nil"/>
            </w:tcBorders>
            <w:vAlign w:val="center"/>
          </w:tcPr>
          <w:p w:rsidR="00006AC7" w:rsidRDefault="00006AC7">
            <w:pPr>
              <w:spacing w:after="0" w:line="240" w:lineRule="auto"/>
              <w:rPr>
                <w:rFonts w:ascii="Times New Roman" w:hAnsi="Times New Roman" w:cs="Times New Roman"/>
                <w:sz w:val="20"/>
                <w:szCs w:val="20"/>
                <w:lang w:eastAsia="it-IT"/>
              </w:rPr>
            </w:pPr>
          </w:p>
        </w:tc>
        <w:tc>
          <w:tcPr>
            <w:tcW w:w="0" w:type="auto"/>
            <w:tcBorders>
              <w:top w:val="nil"/>
              <w:left w:val="nil"/>
              <w:bottom w:val="nil"/>
              <w:right w:val="nil"/>
            </w:tcBorders>
            <w:vAlign w:val="center"/>
          </w:tcPr>
          <w:p w:rsidR="00006AC7" w:rsidRDefault="00006AC7">
            <w:pPr>
              <w:spacing w:after="0" w:line="240" w:lineRule="auto"/>
              <w:rPr>
                <w:rFonts w:ascii="Times New Roman" w:hAnsi="Times New Roman" w:cs="Times New Roman"/>
                <w:sz w:val="24"/>
                <w:szCs w:val="24"/>
                <w:lang w:eastAsia="it-IT"/>
              </w:rPr>
            </w:pPr>
            <w:r>
              <w:rPr>
                <w:rFonts w:ascii="Times New Roman" w:hAnsi="Times New Roman" w:cs="Times New Roman"/>
                <w:noProof/>
                <w:sz w:val="24"/>
                <w:szCs w:val="24"/>
                <w:lang w:eastAsia="it-IT"/>
              </w:rPr>
              <w:pict>
                <v:shape id="Immagine 26" o:spid="_x0000_i1028" type="#_x0000_t75" alt="http://www1.usl3.toscana.it/uoaziendali/sertvdn/sito/giocaretroppo_file/image058.gif" style="width:498.75pt;height:270pt;visibility:visible">
                  <v:imagedata r:id="rId8" o:title=""/>
                </v:shape>
              </w:pict>
            </w:r>
          </w:p>
        </w:tc>
      </w:tr>
    </w:tbl>
    <w:p w:rsidR="00006AC7" w:rsidRDefault="00006AC7">
      <w:pPr>
        <w:spacing w:after="0" w:line="240" w:lineRule="auto"/>
        <w:ind w:left="567"/>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br w:type="textWrapping" w:clear="all"/>
      </w:r>
    </w:p>
    <w:p w:rsidR="00006AC7" w:rsidRDefault="00006AC7">
      <w:pPr>
        <w:spacing w:after="0" w:line="240" w:lineRule="auto"/>
        <w:ind w:left="567"/>
        <w:rPr>
          <w:rFonts w:ascii="Times New Roman" w:hAnsi="Times New Roman" w:cs="Times New Roman"/>
          <w:color w:val="000000"/>
          <w:sz w:val="20"/>
          <w:szCs w:val="20"/>
          <w:lang w:eastAsia="it-IT"/>
        </w:rPr>
      </w:pPr>
    </w:p>
    <w:p w:rsidR="00006AC7" w:rsidRDefault="00006AC7">
      <w:pPr>
        <w:spacing w:after="0" w:line="300" w:lineRule="atLeast"/>
        <w:ind w:firstLine="426"/>
        <w:jc w:val="both"/>
        <w:rPr>
          <w:rFonts w:ascii="Times New Roman" w:hAnsi="Times New Roman" w:cs="Times New Roman"/>
          <w:color w:val="000000"/>
          <w:sz w:val="20"/>
          <w:szCs w:val="20"/>
          <w:lang w:eastAsia="it-IT"/>
        </w:rPr>
      </w:pP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 Punteggio medio del grado di accordo (da 0 a 10) su cinque affermazioni relative all’apertura di un Casinò a San Nicolò a Trebbia distinto per giocatori e non giocatori;</w:t>
      </w:r>
    </w:p>
    <w:p w:rsidR="00006AC7" w:rsidRDefault="00006AC7">
      <w:pPr>
        <w:spacing w:after="0" w:line="300" w:lineRule="atLeast"/>
        <w:ind w:firstLine="708"/>
        <w:rPr>
          <w:rFonts w:ascii="Times New Roman" w:hAnsi="Times New Roman" w:cs="Times New Roman"/>
          <w:color w:val="000000"/>
          <w:sz w:val="20"/>
          <w:szCs w:val="20"/>
          <w:lang w:eastAsia="it-IT"/>
        </w:rPr>
      </w:pPr>
    </w:p>
    <w:p w:rsidR="00006AC7" w:rsidRDefault="00006AC7">
      <w:pPr>
        <w:spacing w:after="0" w:line="240" w:lineRule="auto"/>
        <w:ind w:left="284"/>
        <w:rPr>
          <w:rFonts w:ascii="Times New Roman" w:hAnsi="Times New Roman" w:cs="Times New Roman"/>
          <w:color w:val="000000"/>
          <w:sz w:val="20"/>
          <w:szCs w:val="20"/>
          <w:lang w:eastAsia="it-IT"/>
        </w:rPr>
      </w:pPr>
      <w:r>
        <w:rPr>
          <w:rFonts w:ascii="Times New Roman" w:hAnsi="Times New Roman" w:cs="Times New Roman"/>
          <w:noProof/>
          <w:color w:val="000000"/>
          <w:sz w:val="20"/>
          <w:szCs w:val="20"/>
          <w:lang w:eastAsia="it-IT"/>
        </w:rPr>
        <w:pict>
          <v:shape id="Immagine 27" o:spid="_x0000_i1029" type="#_x0000_t75" alt="http://www1.usl3.toscana.it/uoaziendali/sertvdn/sito/giocaretroppo_file/image060.gif" style="width:485.25pt;height:279pt;visibility:visible">
            <v:imagedata r:id="rId9" o:title=""/>
          </v:shape>
        </w:pict>
      </w:r>
    </w:p>
    <w:p w:rsidR="00006AC7" w:rsidRDefault="00006AC7">
      <w:pPr>
        <w:spacing w:after="0" w:line="300" w:lineRule="atLeast"/>
        <w:ind w:left="360"/>
        <w:jc w:val="both"/>
        <w:rPr>
          <w:rFonts w:ascii="Times New Roman" w:hAnsi="Times New Roman" w:cs="Times New Roman"/>
          <w:color w:val="000000"/>
          <w:sz w:val="20"/>
          <w:szCs w:val="20"/>
          <w:lang w:eastAsia="it-IT"/>
        </w:rPr>
      </w:pPr>
    </w:p>
    <w:p w:rsidR="00006AC7" w:rsidRDefault="00006AC7">
      <w:pPr>
        <w:spacing w:after="0" w:line="300" w:lineRule="atLeast"/>
        <w:ind w:left="360"/>
        <w:jc w:val="both"/>
        <w:rPr>
          <w:rFonts w:ascii="Times New Roman" w:hAnsi="Times New Roman" w:cs="Times New Roman"/>
          <w:color w:val="000000"/>
          <w:sz w:val="20"/>
          <w:szCs w:val="20"/>
          <w:lang w:eastAsia="it-IT"/>
        </w:rPr>
      </w:pPr>
    </w:p>
    <w:p w:rsidR="00006AC7" w:rsidRDefault="00006AC7">
      <w:pPr>
        <w:numPr>
          <w:ilvl w:val="0"/>
          <w:numId w:val="1"/>
        </w:num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Punteggio medio del grado di accordo (da 0 a 10) su cinque affermazioni relative all’apertura di un Casinò a San Nicolò a Trebbia distinto per categoria di spesa (euro pro capite/mese) investita nel gioco;</w:t>
      </w:r>
    </w:p>
    <w:p w:rsidR="00006AC7" w:rsidRDefault="00006AC7">
      <w:pPr>
        <w:spacing w:after="0" w:line="300" w:lineRule="atLeast"/>
        <w:jc w:val="both"/>
        <w:rPr>
          <w:rFonts w:ascii="Times New Roman" w:hAnsi="Times New Roman" w:cs="Times New Roman"/>
          <w:color w:val="000000"/>
          <w:sz w:val="20"/>
          <w:szCs w:val="20"/>
          <w:lang w:eastAsia="it-IT"/>
        </w:rPr>
      </w:pPr>
    </w:p>
    <w:p w:rsidR="00006AC7" w:rsidRDefault="00006AC7">
      <w:pPr>
        <w:spacing w:after="0" w:line="240" w:lineRule="auto"/>
        <w:ind w:left="284"/>
        <w:rPr>
          <w:rFonts w:ascii="Times New Roman" w:hAnsi="Times New Roman" w:cs="Times New Roman"/>
          <w:noProof/>
          <w:color w:val="000000"/>
          <w:sz w:val="20"/>
          <w:szCs w:val="20"/>
          <w:lang w:eastAsia="it-IT"/>
        </w:rPr>
      </w:pPr>
      <w:r>
        <w:rPr>
          <w:rFonts w:ascii="Times New Roman" w:hAnsi="Times New Roman" w:cs="Times New Roman"/>
          <w:noProof/>
          <w:color w:val="000000"/>
          <w:sz w:val="20"/>
          <w:szCs w:val="20"/>
          <w:lang w:eastAsia="it-IT"/>
        </w:rPr>
        <w:pict>
          <v:shape id="Immagine 28" o:spid="_x0000_i1030" type="#_x0000_t75" alt="http://www1.usl3.toscana.it/uoaziendali/sertvdn/sito/giocaretroppo_file/image062.gif" style="width:443.25pt;height:232.5pt;visibility:visible">
            <v:imagedata r:id="rId10" o:title=""/>
          </v:shape>
        </w:pict>
      </w:r>
    </w:p>
    <w:p w:rsidR="00006AC7" w:rsidRDefault="00006AC7">
      <w:pPr>
        <w:spacing w:after="0" w:line="240" w:lineRule="auto"/>
        <w:ind w:left="284"/>
        <w:rPr>
          <w:rFonts w:ascii="Times New Roman" w:hAnsi="Times New Roman" w:cs="Times New Roman"/>
          <w:noProof/>
          <w:color w:val="000000"/>
          <w:sz w:val="20"/>
          <w:szCs w:val="20"/>
          <w:lang w:eastAsia="it-IT"/>
        </w:rPr>
      </w:pPr>
    </w:p>
    <w:p w:rsidR="00006AC7" w:rsidRDefault="00006AC7">
      <w:pPr>
        <w:spacing w:after="0" w:line="240" w:lineRule="auto"/>
        <w:ind w:left="284"/>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br w:type="textWrapping" w:clear="all"/>
      </w:r>
    </w:p>
    <w:p w:rsidR="00006AC7" w:rsidRDefault="00006AC7">
      <w:pPr>
        <w:spacing w:after="0" w:line="240" w:lineRule="auto"/>
        <w:ind w:left="284"/>
        <w:rPr>
          <w:rFonts w:ascii="Times New Roman" w:hAnsi="Times New Roman" w:cs="Times New Roman"/>
          <w:color w:val="000000"/>
          <w:sz w:val="20"/>
          <w:szCs w:val="20"/>
          <w:lang w:eastAsia="it-IT"/>
        </w:rPr>
      </w:pPr>
    </w:p>
    <w:p w:rsidR="00006AC7" w:rsidRDefault="00006AC7">
      <w:pPr>
        <w:numPr>
          <w:ilvl w:val="0"/>
          <w:numId w:val="1"/>
        </w:num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xml:space="preserve"> Punteggio medio del grado di accordo (da 0 a 10) su cinque affermazioni relative all’apertura di un Casinò a San Nicolò a Trebbia distinto per fumatori e non fumatori;</w:t>
      </w:r>
    </w:p>
    <w:p w:rsidR="00006AC7" w:rsidRDefault="00006AC7">
      <w:pPr>
        <w:spacing w:after="0" w:line="240" w:lineRule="auto"/>
        <w:ind w:firstLine="708"/>
        <w:rPr>
          <w:rFonts w:ascii="Times New Roman" w:hAnsi="Times New Roman" w:cs="Times New Roman"/>
          <w:color w:val="000000"/>
          <w:sz w:val="20"/>
          <w:szCs w:val="20"/>
          <w:lang w:eastAsia="it-IT"/>
        </w:rPr>
      </w:pPr>
      <w:r>
        <w:rPr>
          <w:rFonts w:ascii="Times New Roman" w:hAnsi="Times New Roman" w:cs="Times New Roman"/>
          <w:color w:val="000000"/>
          <w:sz w:val="24"/>
          <w:szCs w:val="24"/>
          <w:lang w:eastAsia="it-IT"/>
        </w:rPr>
        <w:t> </w:t>
      </w:r>
    </w:p>
    <w:p w:rsidR="00006AC7" w:rsidRDefault="00006AC7">
      <w:pPr>
        <w:spacing w:after="0" w:line="240" w:lineRule="auto"/>
        <w:ind w:left="284"/>
        <w:rPr>
          <w:rFonts w:ascii="Times New Roman" w:hAnsi="Times New Roman" w:cs="Times New Roman"/>
          <w:color w:val="000000"/>
          <w:sz w:val="20"/>
          <w:szCs w:val="20"/>
          <w:lang w:eastAsia="it-IT"/>
        </w:rPr>
      </w:pPr>
      <w:r>
        <w:rPr>
          <w:rFonts w:ascii="Times New Roman" w:hAnsi="Times New Roman" w:cs="Times New Roman"/>
          <w:noProof/>
          <w:color w:val="000000"/>
          <w:sz w:val="20"/>
          <w:szCs w:val="20"/>
          <w:lang w:eastAsia="it-IT"/>
        </w:rPr>
        <w:pict>
          <v:shape id="Immagine 29" o:spid="_x0000_i1031" type="#_x0000_t75" alt="http://www1.usl3.toscana.it/uoaziendali/sertvdn/sito/giocaretroppo_file/image064.gif" style="width:433.5pt;height:250.5pt;visibility:visible">
            <v:imagedata r:id="rId11" o:title=""/>
          </v:shape>
        </w:pict>
      </w:r>
    </w:p>
    <w:p w:rsidR="00006AC7" w:rsidRDefault="00006AC7">
      <w:pPr>
        <w:spacing w:after="0" w:line="300" w:lineRule="atLeast"/>
        <w:ind w:firstLine="426"/>
        <w:jc w:val="both"/>
        <w:rPr>
          <w:rFonts w:ascii="Times New Roman" w:hAnsi="Times New Roman" w:cs="Times New Roman"/>
          <w:color w:val="000000"/>
          <w:sz w:val="20"/>
          <w:szCs w:val="20"/>
          <w:lang w:eastAsia="it-IT"/>
        </w:rPr>
      </w:pPr>
    </w:p>
    <w:p w:rsidR="00006AC7" w:rsidRDefault="00006AC7">
      <w:pPr>
        <w:spacing w:after="0" w:line="300" w:lineRule="atLeast"/>
        <w:ind w:left="284"/>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284"/>
        <w:rPr>
          <w:rFonts w:ascii="Times New Roman" w:hAnsi="Times New Roman" w:cs="Times New Roman"/>
          <w:color w:val="000000"/>
          <w:sz w:val="20"/>
          <w:szCs w:val="20"/>
          <w:lang w:eastAsia="it-IT"/>
        </w:rPr>
      </w:pPr>
    </w:p>
    <w:p w:rsidR="00006AC7" w:rsidRDefault="00006AC7">
      <w:pPr>
        <w:spacing w:after="0" w:line="300" w:lineRule="atLeast"/>
        <w:ind w:left="284"/>
        <w:rPr>
          <w:rFonts w:ascii="Times New Roman" w:hAnsi="Times New Roman" w:cs="Times New Roman"/>
          <w:color w:val="000000"/>
          <w:sz w:val="20"/>
          <w:szCs w:val="20"/>
          <w:lang w:eastAsia="it-IT"/>
        </w:rPr>
      </w:pPr>
    </w:p>
    <w:p w:rsidR="00006AC7" w:rsidRDefault="00006AC7">
      <w:pPr>
        <w:spacing w:after="0" w:line="300" w:lineRule="atLeast"/>
        <w:ind w:left="284"/>
        <w:rPr>
          <w:rFonts w:ascii="Times New Roman" w:hAnsi="Times New Roman" w:cs="Times New Roman"/>
          <w:color w:val="000000"/>
          <w:sz w:val="20"/>
          <w:szCs w:val="20"/>
          <w:lang w:eastAsia="it-IT"/>
        </w:rPr>
      </w:pPr>
    </w:p>
    <w:p w:rsidR="00006AC7" w:rsidRDefault="00006AC7">
      <w:pPr>
        <w:numPr>
          <w:ilvl w:val="0"/>
          <w:numId w:val="1"/>
        </w:numPr>
        <w:spacing w:after="0" w:line="240" w:lineRule="auto"/>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Punteggio medio del grado di accordo (da 0 a 10) su cinque affermazioni relative all’apertura di un Casinò a San Nicolò a Trebbia distinto per bevitori e non bevitori di alcol.</w:t>
      </w:r>
    </w:p>
    <w:p w:rsidR="00006AC7" w:rsidRDefault="00006AC7">
      <w:pPr>
        <w:spacing w:after="0" w:line="240" w:lineRule="auto"/>
        <w:ind w:left="360"/>
        <w:rPr>
          <w:rFonts w:ascii="Times New Roman" w:hAnsi="Times New Roman" w:cs="Times New Roman"/>
          <w:color w:val="000000"/>
          <w:sz w:val="20"/>
          <w:szCs w:val="20"/>
          <w:lang w:eastAsia="it-IT"/>
        </w:rPr>
      </w:pPr>
    </w:p>
    <w:p w:rsidR="00006AC7" w:rsidRDefault="00006AC7">
      <w:pPr>
        <w:spacing w:after="0" w:line="300" w:lineRule="atLeast"/>
        <w:rPr>
          <w:rFonts w:ascii="Times New Roman" w:hAnsi="Times New Roman" w:cs="Times New Roman"/>
          <w:color w:val="000000"/>
          <w:sz w:val="20"/>
          <w:szCs w:val="20"/>
          <w:lang w:eastAsia="it-IT"/>
        </w:rPr>
      </w:pPr>
      <w:r>
        <w:rPr>
          <w:rFonts w:ascii="Times New Roman" w:hAnsi="Times New Roman" w:cs="Times New Roman"/>
          <w:noProof/>
          <w:color w:val="000000"/>
          <w:sz w:val="20"/>
          <w:szCs w:val="20"/>
          <w:lang w:eastAsia="it-IT"/>
        </w:rPr>
        <w:pict>
          <v:shape id="Immagine 30" o:spid="_x0000_i1032" type="#_x0000_t75" alt="http://www1.usl3.toscana.it/uoaziendali/sertvdn/sito/giocaretroppo_file/image066.gif" style="width:456.75pt;height:244.5pt;visibility:visible">
            <v:imagedata r:id="rId12" o:title=""/>
          </v:shape>
        </w:pict>
      </w:r>
      <w:r>
        <w:rPr>
          <w:rFonts w:ascii="Times New Roman" w:hAnsi="Times New Roman" w:cs="Times New Roman"/>
          <w:color w:val="000000"/>
          <w:sz w:val="24"/>
          <w:szCs w:val="24"/>
          <w:lang w:eastAsia="it-IT"/>
        </w:rPr>
        <w:t> </w:t>
      </w:r>
    </w:p>
    <w:p w:rsidR="00006AC7" w:rsidRDefault="00006AC7">
      <w:pPr>
        <w:spacing w:after="0" w:line="240" w:lineRule="auto"/>
        <w:jc w:val="both"/>
        <w:rPr>
          <w:rFonts w:ascii="Times New Roman" w:hAnsi="Times New Roman" w:cs="Times New Roman"/>
          <w:color w:val="000000"/>
          <w:sz w:val="20"/>
          <w:szCs w:val="20"/>
          <w:lang w:eastAsia="it-IT"/>
        </w:rPr>
      </w:pPr>
    </w:p>
    <w:tbl>
      <w:tblPr>
        <w:tblpPr w:leftFromText="36" w:rightFromText="36" w:vertAnchor="text"/>
        <w:tblW w:w="0" w:type="auto"/>
        <w:tblCellSpacing w:w="0" w:type="dxa"/>
        <w:tblCellMar>
          <w:left w:w="0" w:type="dxa"/>
          <w:right w:w="0" w:type="dxa"/>
        </w:tblCellMar>
        <w:tblLook w:val="0000"/>
      </w:tblPr>
      <w:tblGrid>
        <w:gridCol w:w="50"/>
        <w:gridCol w:w="50"/>
      </w:tblGrid>
      <w:tr w:rsidR="00006AC7">
        <w:trPr>
          <w:gridAfter w:val="1"/>
          <w:tblCellSpacing w:w="0" w:type="dxa"/>
        </w:trPr>
        <w:tc>
          <w:tcPr>
            <w:tcW w:w="24" w:type="dxa"/>
            <w:tcBorders>
              <w:top w:val="nil"/>
              <w:left w:val="nil"/>
              <w:bottom w:val="nil"/>
              <w:right w:val="nil"/>
            </w:tcBorders>
            <w:vAlign w:val="center"/>
          </w:tcPr>
          <w:p w:rsidR="00006AC7" w:rsidRDefault="00006AC7">
            <w:pPr>
              <w:spacing w:after="0" w:line="240" w:lineRule="auto"/>
              <w:jc w:val="both"/>
              <w:rPr>
                <w:rFonts w:ascii="Times New Roman" w:hAnsi="Times New Roman" w:cs="Times New Roman"/>
                <w:color w:val="000000"/>
                <w:sz w:val="20"/>
                <w:szCs w:val="20"/>
                <w:lang w:eastAsia="it-IT"/>
              </w:rPr>
            </w:pPr>
          </w:p>
        </w:tc>
      </w:tr>
      <w:tr w:rsidR="00006AC7">
        <w:trPr>
          <w:tblCellSpacing w:w="0" w:type="dxa"/>
        </w:trPr>
        <w:tc>
          <w:tcPr>
            <w:tcW w:w="0" w:type="auto"/>
            <w:tcBorders>
              <w:top w:val="nil"/>
              <w:left w:val="nil"/>
              <w:bottom w:val="nil"/>
              <w:right w:val="nil"/>
            </w:tcBorders>
            <w:vAlign w:val="center"/>
          </w:tcPr>
          <w:p w:rsidR="00006AC7" w:rsidRDefault="00006AC7">
            <w:pPr>
              <w:pStyle w:val="Heading7"/>
              <w:jc w:val="both"/>
              <w:rPr>
                <w:lang w:eastAsia="it-IT"/>
              </w:rPr>
            </w:pPr>
          </w:p>
        </w:tc>
        <w:tc>
          <w:tcPr>
            <w:tcW w:w="0" w:type="auto"/>
            <w:tcBorders>
              <w:top w:val="nil"/>
              <w:left w:val="nil"/>
              <w:bottom w:val="nil"/>
              <w:right w:val="nil"/>
            </w:tcBorders>
            <w:vAlign w:val="center"/>
          </w:tcPr>
          <w:p w:rsidR="00006AC7" w:rsidRDefault="00006AC7">
            <w:pPr>
              <w:pStyle w:val="Heading7"/>
              <w:jc w:val="both"/>
              <w:rPr>
                <w:lang w:eastAsia="it-IT"/>
              </w:rPr>
            </w:pPr>
          </w:p>
        </w:tc>
      </w:tr>
    </w:tbl>
    <w:p w:rsidR="00006AC7" w:rsidRDefault="00006AC7">
      <w:pPr>
        <w:pStyle w:val="Heading7"/>
        <w:jc w:val="both"/>
        <w:rPr>
          <w:lang w:eastAsia="it-IT"/>
        </w:rPr>
      </w:pPr>
    </w:p>
    <w:p w:rsidR="00006AC7" w:rsidRDefault="00006AC7">
      <w:pPr>
        <w:pStyle w:val="Heading7"/>
        <w:jc w:val="both"/>
        <w:rPr>
          <w:sz w:val="20"/>
          <w:szCs w:val="20"/>
          <w:lang w:eastAsia="it-IT"/>
        </w:rPr>
      </w:pPr>
      <w:r>
        <w:rPr>
          <w:lang w:eastAsia="it-IT"/>
        </w:rPr>
        <w:t>Conclusioni</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Questa ricerca rappresenta la prima indagine sul gioco d’azzardo condotta in Italia nella popolazione adulta generale in un’area potenzialmente oggetto dell’apertura di un Casinò.</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In sintesi, i principali risultati della ricerca, riferita alla popolazione di 18-65 anni dell’area indagata, indicano che:</w:t>
      </w:r>
    </w:p>
    <w:p w:rsidR="00006AC7" w:rsidRDefault="00006AC7">
      <w:pPr>
        <w:spacing w:after="0" w:line="300" w:lineRule="atLeast"/>
        <w:jc w:val="both"/>
        <w:rPr>
          <w:rFonts w:ascii="Times New Roman" w:hAnsi="Times New Roman" w:cs="Times New Roman"/>
          <w:color w:val="000000"/>
          <w:sz w:val="20"/>
          <w:szCs w:val="20"/>
          <w:lang w:eastAsia="it-IT"/>
        </w:rPr>
      </w:pPr>
    </w:p>
    <w:p w:rsidR="00006AC7" w:rsidRDefault="00006AC7">
      <w:pPr>
        <w:spacing w:after="0" w:line="300" w:lineRule="atLeast"/>
        <w:ind w:left="36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1-     Meno della metà della popolazione (43%) nell’ultimo mese ha giocato a qualche gioco d’azzardo dei tredici indagati;</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36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2-     Lo 0.8% della popolazione adulta gioca tutti i giorni, ed il 7% quattro o più volte alla settimana. I giocatori più assidui per frequenza non differiscono molto dai meno assidui, anche se sono più spesso maschi e forti fumatori;</w:t>
      </w:r>
    </w:p>
    <w:p w:rsidR="00006AC7" w:rsidRDefault="00006AC7">
      <w:pPr>
        <w:spacing w:after="0" w:line="300" w:lineRule="atLeast"/>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36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3-     Ogni persona spende mediamente circa 27 euro al mese in scommesse. Dunque in un anno sarebbero stati investiti 24 milioni di euro nell’area indagata;</w:t>
      </w:r>
    </w:p>
    <w:p w:rsidR="00006AC7" w:rsidRDefault="00006AC7">
      <w:pPr>
        <w:spacing w:after="0" w:line="300" w:lineRule="atLeast"/>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36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4-     Il 13% della popolazione conosce qualcuno con problemi legati al gioco. Anche se rilevati con strumenti diversi, in assenza di riferimenti nazionali, si tratta di valori compatibili con le stime di prevalenza di giocatori problematici (ma non patologici) rilevati a livello internazionale;</w:t>
      </w:r>
    </w:p>
    <w:p w:rsidR="00006AC7" w:rsidRDefault="00006AC7">
      <w:pPr>
        <w:spacing w:after="0" w:line="300" w:lineRule="atLeast"/>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360" w:hanging="360"/>
        <w:jc w:val="both"/>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5-     Sebbene l’analisi statistica multivariata non evidenzi un chiaro profilo del giocatore d’azzardo maggiore, questo sembra perlopiù un maschio, giovane, con modesto grado di scolarizzazione e forte fumatore;</w:t>
      </w:r>
    </w:p>
    <w:p w:rsidR="00006AC7" w:rsidRDefault="00006AC7">
      <w:pPr>
        <w:spacing w:after="0" w:line="300" w:lineRule="atLeast"/>
        <w:rPr>
          <w:rFonts w:ascii="Times New Roman" w:hAnsi="Times New Roman" w:cs="Times New Roman"/>
          <w:color w:val="000000"/>
          <w:sz w:val="20"/>
          <w:szCs w:val="20"/>
          <w:lang w:eastAsia="it-IT"/>
        </w:rPr>
      </w:pPr>
      <w:r>
        <w:rPr>
          <w:rFonts w:ascii="Times New Roman" w:hAnsi="Times New Roman" w:cs="Times New Roman"/>
          <w:color w:val="000000"/>
          <w:sz w:val="20"/>
          <w:szCs w:val="20"/>
          <w:lang w:eastAsia="it-IT"/>
        </w:rPr>
        <w:t> </w:t>
      </w:r>
    </w:p>
    <w:p w:rsidR="00006AC7" w:rsidRDefault="00006AC7">
      <w:pPr>
        <w:spacing w:after="0" w:line="300" w:lineRule="atLeast"/>
        <w:ind w:left="360" w:hanging="360"/>
        <w:jc w:val="both"/>
        <w:rPr>
          <w:rFonts w:ascii="Times New Roman" w:hAnsi="Times New Roman" w:cs="Times New Roman"/>
          <w:color w:val="FF0000"/>
        </w:rPr>
      </w:pPr>
      <w:r>
        <w:rPr>
          <w:rFonts w:ascii="Times New Roman" w:hAnsi="Times New Roman" w:cs="Times New Roman"/>
          <w:color w:val="FF0000"/>
          <w:sz w:val="20"/>
          <w:szCs w:val="20"/>
          <w:lang w:eastAsia="it-IT"/>
        </w:rPr>
        <w:t>6-     La maggioranza della popolazione della zona indagata (58,4%) è d’accordo con l’ipotesi di apertura di un Casinò a San Nicolò a Trebbia, nell’idea che porterà soprattutto benefici all’economia locale, nonostante tema un aumento dei problemi del traffico.</w:t>
      </w:r>
    </w:p>
    <w:sectPr w:rsidR="00006AC7" w:rsidSect="00006AC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EF4DF5"/>
    <w:multiLevelType w:val="hybridMultilevel"/>
    <w:tmpl w:val="46A460AC"/>
    <w:lvl w:ilvl="0" w:tplc="745C7FA4">
      <w:start w:val="5"/>
      <w:numFmt w:val="bullet"/>
      <w:lvlText w:val="-"/>
      <w:lvlJc w:val="left"/>
      <w:pPr>
        <w:tabs>
          <w:tab w:val="num" w:pos="720"/>
        </w:tabs>
        <w:ind w:left="720" w:hanging="360"/>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
    <w:nsid w:val="571D46EF"/>
    <w:multiLevelType w:val="hybridMultilevel"/>
    <w:tmpl w:val="1C403EC0"/>
    <w:lvl w:ilvl="0" w:tplc="04100005">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
    <w:nsid w:val="7F233882"/>
    <w:multiLevelType w:val="hybridMultilevel"/>
    <w:tmpl w:val="320A134E"/>
    <w:lvl w:ilvl="0" w:tplc="459865A0">
      <w:start w:val="5"/>
      <w:numFmt w:val="bullet"/>
      <w:lvlText w:val="-"/>
      <w:lvlJc w:val="left"/>
      <w:pPr>
        <w:tabs>
          <w:tab w:val="num" w:pos="855"/>
        </w:tabs>
        <w:ind w:left="855" w:hanging="495"/>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efaultTabStop w:val="708"/>
  <w:hyphenationZone w:val="283"/>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6AC7"/>
    <w:rsid w:val="00006AC7"/>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semiHidden="0" w:unhideWhenUsed="0"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nhideWhenUsed="0"/>
    <w:lsdException w:name="Body Text Indent 2" w:unhideWhenUsed="0"/>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rFonts w:ascii="Calibri" w:hAnsi="Calibri" w:cs="Calibri"/>
      <w:lang w:eastAsia="en-US"/>
    </w:rPr>
  </w:style>
  <w:style w:type="paragraph" w:styleId="Heading1">
    <w:name w:val="heading 1"/>
    <w:basedOn w:val="Normal"/>
    <w:link w:val="Heading1Char"/>
    <w:uiPriority w:val="99"/>
    <w:qFormat/>
    <w:pPr>
      <w:spacing w:before="100" w:beforeAutospacing="1" w:after="100" w:afterAutospacing="1" w:line="240" w:lineRule="auto"/>
      <w:outlineLvl w:val="0"/>
    </w:pPr>
    <w:rPr>
      <w:b/>
      <w:bCs/>
      <w:kern w:val="36"/>
      <w:sz w:val="48"/>
      <w:szCs w:val="48"/>
      <w:lang w:eastAsia="it-IT"/>
    </w:rPr>
  </w:style>
  <w:style w:type="paragraph" w:styleId="Heading2">
    <w:name w:val="heading 2"/>
    <w:basedOn w:val="Normal"/>
    <w:link w:val="Heading2Char"/>
    <w:uiPriority w:val="99"/>
    <w:qFormat/>
    <w:pPr>
      <w:spacing w:before="100" w:beforeAutospacing="1" w:after="100" w:afterAutospacing="1" w:line="240" w:lineRule="auto"/>
      <w:outlineLvl w:val="1"/>
    </w:pPr>
    <w:rPr>
      <w:b/>
      <w:bCs/>
      <w:sz w:val="36"/>
      <w:szCs w:val="36"/>
      <w:lang w:eastAsia="it-IT"/>
    </w:rPr>
  </w:style>
  <w:style w:type="paragraph" w:styleId="Heading3">
    <w:name w:val="heading 3"/>
    <w:basedOn w:val="Normal"/>
    <w:link w:val="Heading3Char"/>
    <w:uiPriority w:val="99"/>
    <w:qFormat/>
    <w:pPr>
      <w:spacing w:before="100" w:beforeAutospacing="1" w:after="100" w:afterAutospacing="1" w:line="240" w:lineRule="auto"/>
      <w:outlineLvl w:val="2"/>
    </w:pPr>
    <w:rPr>
      <w:b/>
      <w:bCs/>
      <w:sz w:val="27"/>
      <w:szCs w:val="27"/>
      <w:lang w:eastAsia="it-IT"/>
    </w:rPr>
  </w:style>
  <w:style w:type="paragraph" w:styleId="Heading4">
    <w:name w:val="heading 4"/>
    <w:basedOn w:val="Normal"/>
    <w:next w:val="Normal"/>
    <w:link w:val="Heading4Char"/>
    <w:uiPriority w:val="99"/>
    <w:qFormat/>
    <w:pPr>
      <w:keepNext/>
      <w:spacing w:after="0" w:line="300" w:lineRule="atLeast"/>
      <w:jc w:val="both"/>
      <w:outlineLvl w:val="3"/>
    </w:pPr>
    <w:rPr>
      <w:b/>
      <w:bCs/>
      <w:sz w:val="20"/>
      <w:szCs w:val="20"/>
      <w:lang w:eastAsia="it-IT"/>
    </w:rPr>
  </w:style>
  <w:style w:type="paragraph" w:styleId="Heading5">
    <w:name w:val="heading 5"/>
    <w:basedOn w:val="Normal"/>
    <w:link w:val="Heading5Char"/>
    <w:uiPriority w:val="99"/>
    <w:qFormat/>
    <w:pPr>
      <w:spacing w:before="100" w:beforeAutospacing="1" w:after="100" w:afterAutospacing="1" w:line="240" w:lineRule="auto"/>
      <w:outlineLvl w:val="4"/>
    </w:pPr>
    <w:rPr>
      <w:b/>
      <w:bCs/>
      <w:sz w:val="20"/>
      <w:szCs w:val="20"/>
      <w:lang w:eastAsia="it-IT"/>
    </w:rPr>
  </w:style>
  <w:style w:type="paragraph" w:styleId="Heading6">
    <w:name w:val="heading 6"/>
    <w:basedOn w:val="Normal"/>
    <w:next w:val="Normal"/>
    <w:link w:val="Heading6Char"/>
    <w:uiPriority w:val="99"/>
    <w:qFormat/>
    <w:pPr>
      <w:keepNext/>
      <w:spacing w:after="0" w:line="360" w:lineRule="atLeast"/>
      <w:outlineLvl w:val="5"/>
    </w:pPr>
    <w:rPr>
      <w:rFonts w:cstheme="minorBidi"/>
      <w:b/>
      <w:bCs/>
      <w:color w:val="000000"/>
      <w:sz w:val="24"/>
      <w:szCs w:val="24"/>
      <w:lang w:eastAsia="it-IT"/>
    </w:rPr>
  </w:style>
  <w:style w:type="paragraph" w:styleId="Heading7">
    <w:name w:val="heading 7"/>
    <w:basedOn w:val="Normal"/>
    <w:next w:val="Normal"/>
    <w:link w:val="Heading7Char"/>
    <w:uiPriority w:val="99"/>
    <w:qFormat/>
    <w:pPr>
      <w:keepNext/>
      <w:outlineLvl w:val="6"/>
    </w:pPr>
    <w:rPr>
      <w:rFonts w:cstheme="minorBidi"/>
      <w:b/>
      <w:bCs/>
      <w:sz w:val="24"/>
      <w:szCs w:val="24"/>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Times New Roman" w:hAnsi="Times New Roman" w:cs="Times New Roman"/>
      <w:b/>
      <w:bCs/>
      <w:kern w:val="36"/>
      <w:sz w:val="48"/>
      <w:szCs w:val="48"/>
      <w:lang w:eastAsia="it-IT"/>
    </w:rPr>
  </w:style>
  <w:style w:type="character" w:customStyle="1" w:styleId="Heading2Char">
    <w:name w:val="Heading 2 Char"/>
    <w:basedOn w:val="DefaultParagraphFont"/>
    <w:link w:val="Heading2"/>
    <w:uiPriority w:val="99"/>
    <w:rPr>
      <w:rFonts w:ascii="Times New Roman" w:hAnsi="Times New Roman" w:cs="Times New Roman"/>
      <w:b/>
      <w:bCs/>
      <w:sz w:val="36"/>
      <w:szCs w:val="36"/>
      <w:lang w:eastAsia="it-IT"/>
    </w:rPr>
  </w:style>
  <w:style w:type="character" w:customStyle="1" w:styleId="Heading3Char">
    <w:name w:val="Heading 3 Char"/>
    <w:basedOn w:val="DefaultParagraphFont"/>
    <w:link w:val="Heading3"/>
    <w:uiPriority w:val="99"/>
    <w:rPr>
      <w:rFonts w:ascii="Times New Roman" w:hAnsi="Times New Roman" w:cs="Times New Roman"/>
      <w:b/>
      <w:bCs/>
      <w:sz w:val="27"/>
      <w:szCs w:val="27"/>
      <w:lang w:eastAsia="it-IT"/>
    </w:rPr>
  </w:style>
  <w:style w:type="character" w:customStyle="1" w:styleId="Heading4Char">
    <w:name w:val="Heading 4 Char"/>
    <w:basedOn w:val="DefaultParagraphFont"/>
    <w:link w:val="Heading4"/>
    <w:uiPriority w:val="99"/>
    <w:rPr>
      <w:rFonts w:ascii="Times New Roman" w:hAnsi="Times New Roman" w:cs="Times New Roman"/>
      <w:b/>
      <w:bCs/>
      <w:sz w:val="28"/>
      <w:szCs w:val="28"/>
      <w:lang w:eastAsia="en-US"/>
    </w:rPr>
  </w:style>
  <w:style w:type="character" w:customStyle="1" w:styleId="Heading5Char">
    <w:name w:val="Heading 5 Char"/>
    <w:basedOn w:val="DefaultParagraphFont"/>
    <w:link w:val="Heading5"/>
    <w:uiPriority w:val="99"/>
    <w:rPr>
      <w:rFonts w:ascii="Times New Roman" w:hAnsi="Times New Roman" w:cs="Times New Roman"/>
      <w:b/>
      <w:bCs/>
      <w:sz w:val="20"/>
      <w:szCs w:val="20"/>
      <w:lang w:eastAsia="it-IT"/>
    </w:rPr>
  </w:style>
  <w:style w:type="character" w:customStyle="1" w:styleId="Heading6Char">
    <w:name w:val="Heading 6 Char"/>
    <w:basedOn w:val="DefaultParagraphFont"/>
    <w:link w:val="Heading6"/>
    <w:uiPriority w:val="9"/>
    <w:semiHidden/>
    <w:rsid w:val="00006AC7"/>
    <w:rPr>
      <w:b/>
      <w:bCs/>
      <w:lang w:eastAsia="en-US"/>
    </w:rPr>
  </w:style>
  <w:style w:type="character" w:customStyle="1" w:styleId="Heading7Char">
    <w:name w:val="Heading 7 Char"/>
    <w:basedOn w:val="DefaultParagraphFont"/>
    <w:link w:val="Heading7"/>
    <w:uiPriority w:val="9"/>
    <w:semiHidden/>
    <w:rsid w:val="00006AC7"/>
    <w:rPr>
      <w:sz w:val="24"/>
      <w:szCs w:val="24"/>
      <w:lang w:eastAsia="en-US"/>
    </w:rPr>
  </w:style>
  <w:style w:type="character" w:customStyle="1" w:styleId="apple-converted-space">
    <w:name w:val="apple-converted-space"/>
    <w:basedOn w:val="DefaultParagraphFont"/>
    <w:uiPriority w:val="99"/>
    <w:rPr>
      <w:rFonts w:ascii="Times New Roman" w:hAnsi="Times New Roman" w:cs="Times New Roman"/>
    </w:rPr>
  </w:style>
  <w:style w:type="paragraph" w:styleId="BodyText">
    <w:name w:val="Body Text"/>
    <w:basedOn w:val="Normal"/>
    <w:link w:val="BodyTextChar"/>
    <w:uiPriority w:val="99"/>
    <w:pPr>
      <w:spacing w:before="100" w:beforeAutospacing="1" w:after="100" w:afterAutospacing="1" w:line="240" w:lineRule="auto"/>
    </w:pPr>
    <w:rPr>
      <w:sz w:val="24"/>
      <w:szCs w:val="24"/>
      <w:lang w:eastAsia="it-IT"/>
    </w:rPr>
  </w:style>
  <w:style w:type="character" w:customStyle="1" w:styleId="BodyTextChar">
    <w:name w:val="Body Text Char"/>
    <w:basedOn w:val="DefaultParagraphFont"/>
    <w:link w:val="BodyText"/>
    <w:uiPriority w:val="99"/>
    <w:rPr>
      <w:rFonts w:ascii="Times New Roman" w:hAnsi="Times New Roman" w:cs="Times New Roman"/>
      <w:sz w:val="24"/>
      <w:szCs w:val="24"/>
      <w:lang w:eastAsia="it-IT"/>
    </w:rPr>
  </w:style>
  <w:style w:type="paragraph" w:customStyle="1" w:styleId="xl34">
    <w:name w:val="xl34"/>
    <w:basedOn w:val="Normal"/>
    <w:uiPriority w:val="99"/>
    <w:pPr>
      <w:spacing w:before="100" w:beforeAutospacing="1" w:after="100" w:afterAutospacing="1" w:line="240" w:lineRule="auto"/>
    </w:pPr>
    <w:rPr>
      <w:sz w:val="24"/>
      <w:szCs w:val="24"/>
      <w:lang w:eastAsia="it-IT"/>
    </w:rPr>
  </w:style>
  <w:style w:type="paragraph" w:styleId="BodyText2">
    <w:name w:val="Body Text 2"/>
    <w:basedOn w:val="Normal"/>
    <w:link w:val="BodyText2Char"/>
    <w:uiPriority w:val="99"/>
    <w:pPr>
      <w:spacing w:after="0" w:line="300" w:lineRule="atLeast"/>
      <w:jc w:val="both"/>
    </w:pPr>
    <w:rPr>
      <w:rFonts w:cstheme="minorBidi"/>
      <w:sz w:val="20"/>
      <w:szCs w:val="20"/>
      <w:lang w:eastAsia="it-IT"/>
    </w:rPr>
  </w:style>
  <w:style w:type="character" w:customStyle="1" w:styleId="BodyText2Char">
    <w:name w:val="Body Text 2 Char"/>
    <w:basedOn w:val="DefaultParagraphFont"/>
    <w:link w:val="BodyText2"/>
    <w:uiPriority w:val="99"/>
    <w:rPr>
      <w:rFonts w:ascii="Times New Roman" w:hAnsi="Times New Roman" w:cs="Times New Roman"/>
      <w:sz w:val="24"/>
      <w:szCs w:val="24"/>
      <w:lang w:eastAsia="it-IT"/>
    </w:rPr>
  </w:style>
  <w:style w:type="paragraph" w:styleId="FootnoteText">
    <w:name w:val="footnote text"/>
    <w:basedOn w:val="Normal"/>
    <w:link w:val="FootnoteTextChar"/>
    <w:uiPriority w:val="99"/>
    <w:pPr>
      <w:spacing w:before="100" w:beforeAutospacing="1" w:after="100" w:afterAutospacing="1" w:line="240" w:lineRule="auto"/>
    </w:pPr>
    <w:rPr>
      <w:sz w:val="24"/>
      <w:szCs w:val="24"/>
      <w:lang w:eastAsia="it-IT"/>
    </w:rPr>
  </w:style>
  <w:style w:type="character" w:customStyle="1" w:styleId="FootnoteTextChar">
    <w:name w:val="Footnote Text Char"/>
    <w:basedOn w:val="DefaultParagraphFont"/>
    <w:link w:val="FootnoteText"/>
    <w:uiPriority w:val="99"/>
    <w:rPr>
      <w:rFonts w:ascii="Times New Roman" w:hAnsi="Times New Roman" w:cs="Times New Roman"/>
      <w:sz w:val="24"/>
      <w:szCs w:val="24"/>
      <w:lang w:eastAsia="it-IT"/>
    </w:rPr>
  </w:style>
  <w:style w:type="paragraph" w:customStyle="1" w:styleId="xl25">
    <w:name w:val="xl25"/>
    <w:basedOn w:val="Normal"/>
    <w:uiPriority w:val="99"/>
    <w:pPr>
      <w:spacing w:before="100" w:beforeAutospacing="1" w:after="100" w:afterAutospacing="1" w:line="240" w:lineRule="auto"/>
    </w:pPr>
    <w:rPr>
      <w:sz w:val="24"/>
      <w:szCs w:val="24"/>
      <w:lang w:eastAsia="it-IT"/>
    </w:rPr>
  </w:style>
  <w:style w:type="paragraph" w:styleId="NormalWeb">
    <w:name w:val="Normal (Web)"/>
    <w:basedOn w:val="Normal"/>
    <w:uiPriority w:val="99"/>
    <w:pPr>
      <w:spacing w:before="100" w:beforeAutospacing="1" w:after="100" w:afterAutospacing="1" w:line="240" w:lineRule="auto"/>
    </w:pPr>
    <w:rPr>
      <w:sz w:val="24"/>
      <w:szCs w:val="24"/>
      <w:lang w:eastAsia="it-IT"/>
    </w:rPr>
  </w:style>
  <w:style w:type="paragraph" w:customStyle="1" w:styleId="xl26">
    <w:name w:val="xl26"/>
    <w:basedOn w:val="Normal"/>
    <w:uiPriority w:val="99"/>
    <w:pPr>
      <w:spacing w:before="100" w:beforeAutospacing="1" w:after="100" w:afterAutospacing="1" w:line="240" w:lineRule="auto"/>
    </w:pPr>
    <w:rPr>
      <w:sz w:val="24"/>
      <w:szCs w:val="24"/>
      <w:lang w:eastAsia="it-IT"/>
    </w:rPr>
  </w:style>
  <w:style w:type="character" w:styleId="Hyperlink">
    <w:name w:val="Hyperlink"/>
    <w:basedOn w:val="DefaultParagraphFont"/>
    <w:uiPriority w:val="99"/>
    <w:rPr>
      <w:rFonts w:ascii="Times New Roman" w:hAnsi="Times New Roman" w:cs="Times New Roman"/>
      <w:color w:val="0000FF"/>
      <w:u w:val="single"/>
    </w:rPr>
  </w:style>
  <w:style w:type="character" w:styleId="FollowedHyperlink">
    <w:name w:val="FollowedHyperlink"/>
    <w:basedOn w:val="DefaultParagraphFont"/>
    <w:uiPriority w:val="99"/>
    <w:rPr>
      <w:rFonts w:ascii="Times New Roman" w:hAnsi="Times New Roman" w:cs="Times New Roman"/>
      <w:color w:val="800080"/>
      <w:u w:val="single"/>
    </w:rPr>
  </w:style>
  <w:style w:type="paragraph" w:styleId="Caption">
    <w:name w:val="caption"/>
    <w:basedOn w:val="Normal"/>
    <w:next w:val="Normal"/>
    <w:uiPriority w:val="99"/>
    <w:qFormat/>
    <w:pPr>
      <w:spacing w:after="200" w:line="240" w:lineRule="auto"/>
    </w:pPr>
    <w:rPr>
      <w:i/>
      <w:iCs/>
      <w:color w:val="44546A"/>
      <w:sz w:val="18"/>
      <w:szCs w:val="18"/>
    </w:rPr>
  </w:style>
  <w:style w:type="paragraph" w:styleId="BodyTextIndent2">
    <w:name w:val="Body Text Indent 2"/>
    <w:basedOn w:val="Normal"/>
    <w:link w:val="BodyTextIndent2Char"/>
    <w:uiPriority w:val="99"/>
    <w:pPr>
      <w:spacing w:after="0" w:line="300" w:lineRule="atLeast"/>
      <w:ind w:left="360" w:hanging="360"/>
      <w:jc w:val="both"/>
    </w:pPr>
    <w:rPr>
      <w:rFonts w:cstheme="minorBidi"/>
      <w:sz w:val="20"/>
      <w:szCs w:val="20"/>
      <w:lang w:eastAsia="it-IT"/>
    </w:rPr>
  </w:style>
  <w:style w:type="character" w:customStyle="1" w:styleId="BodyTextIndent2Char">
    <w:name w:val="Body Text Indent 2 Char"/>
    <w:basedOn w:val="DefaultParagraphFont"/>
    <w:link w:val="BodyTextIndent2"/>
    <w:uiPriority w:val="99"/>
    <w:semiHidden/>
    <w:rsid w:val="00006AC7"/>
    <w:rPr>
      <w:rFonts w:ascii="Calibri" w:hAnsi="Calibri" w:cs="Calibri"/>
      <w:lang w:eastAsia="en-US"/>
    </w:rPr>
  </w:style>
  <w:style w:type="paragraph" w:styleId="BodyText3">
    <w:name w:val="Body Text 3"/>
    <w:basedOn w:val="Normal"/>
    <w:link w:val="BodyText3Char"/>
    <w:uiPriority w:val="99"/>
    <w:rPr>
      <w:rFonts w:cstheme="minorBidi"/>
      <w:sz w:val="20"/>
      <w:szCs w:val="20"/>
    </w:rPr>
  </w:style>
  <w:style w:type="character" w:customStyle="1" w:styleId="BodyText3Char">
    <w:name w:val="Body Text 3 Char"/>
    <w:basedOn w:val="DefaultParagraphFont"/>
    <w:link w:val="BodyText3"/>
    <w:uiPriority w:val="99"/>
    <w:semiHidden/>
    <w:rsid w:val="00006AC7"/>
    <w:rPr>
      <w:rFonts w:ascii="Calibri" w:hAnsi="Calibri" w:cs="Calibri"/>
      <w:sz w:val="16"/>
      <w:szCs w:val="16"/>
      <w:lang w:eastAsia="en-US"/>
    </w:rPr>
  </w:style>
  <w:style w:type="paragraph" w:customStyle="1" w:styleId="nom">
    <w:name w:val="nom"/>
    <w:basedOn w:val="xl34"/>
    <w:uiPriority w:val="99"/>
    <w:pPr>
      <w:spacing w:before="0" w:beforeAutospacing="0" w:after="160" w:afterAutospacing="0" w:line="259"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274</TotalTime>
  <Pages>8</Pages>
  <Words>1758</Words>
  <Characters>10024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dc:creator>
  <cp:keywords/>
  <dc:description/>
  <cp:lastModifiedBy>Mirco Boveri</cp:lastModifiedBy>
  <cp:revision>37</cp:revision>
  <dcterms:created xsi:type="dcterms:W3CDTF">2016-11-14T21:27:00Z</dcterms:created>
  <dcterms:modified xsi:type="dcterms:W3CDTF">2016-11-20T20:10:00Z</dcterms:modified>
</cp:coreProperties>
</file>